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BD" w:rsidRPr="00F809BD" w:rsidRDefault="00F809BD" w:rsidP="00F809BD">
      <w:pPr>
        <w:shd w:val="clear" w:color="auto" w:fill="FFFFFF"/>
        <w:spacing w:after="45" w:line="240" w:lineRule="auto"/>
        <w:textAlignment w:val="baseline"/>
        <w:outlineLvl w:val="4"/>
        <w:rPr>
          <w:rFonts w:ascii="Georgia" w:eastAsia="Times New Roman" w:hAnsi="Georgia" w:cs="Times New Roman"/>
          <w:color w:val="999999"/>
          <w:sz w:val="20"/>
          <w:szCs w:val="20"/>
        </w:rPr>
      </w:pPr>
      <w:proofErr w:type="gramStart"/>
      <w:r w:rsidRPr="00F809BD">
        <w:rPr>
          <w:rFonts w:ascii="Georgia" w:eastAsia="Times New Roman" w:hAnsi="Georgia" w:cs="Times New Roman"/>
          <w:color w:val="999999"/>
          <w:sz w:val="20"/>
          <w:szCs w:val="20"/>
        </w:rPr>
        <w:t>Table 1.</w:t>
      </w:r>
      <w:proofErr w:type="gramEnd"/>
      <w:r w:rsidRPr="00F809BD">
        <w:rPr>
          <w:rFonts w:ascii="Georgia" w:eastAsia="Times New Roman" w:hAnsi="Georgia" w:cs="Times New Roman"/>
          <w:color w:val="999999"/>
          <w:sz w:val="20"/>
          <w:szCs w:val="20"/>
        </w:rPr>
        <w:t xml:space="preserve"> Management recommendations for patients with incidental cystic renal masses</w:t>
      </w:r>
    </w:p>
    <w:p w:rsidR="00F809BD" w:rsidRPr="00F809BD" w:rsidRDefault="00F809BD" w:rsidP="00F809BD">
      <w:pPr>
        <w:spacing w:after="0" w:line="240" w:lineRule="auto"/>
        <w:rPr>
          <w:rFonts w:ascii="Times New Roman" w:eastAsia="Times New Roman" w:hAnsi="Times New Roman" w:cs="Times New Roman"/>
          <w:sz w:val="24"/>
          <w:szCs w:val="24"/>
        </w:rPr>
      </w:pPr>
      <w:r w:rsidRPr="00F809BD">
        <w:rPr>
          <w:rFonts w:ascii="Helvetica" w:eastAsia="Times New Roman" w:hAnsi="Helvetica" w:cs="Helvetica"/>
          <w:color w:val="333333"/>
          <w:sz w:val="18"/>
          <w:szCs w:val="18"/>
          <w:shd w:val="clear" w:color="auto" w:fill="FFFFFF"/>
        </w:rPr>
        <w:t>Reprinted with permission from Radiology 2008</w:t>
      </w:r>
      <w:proofErr w:type="gramStart"/>
      <w:r w:rsidRPr="00F809BD">
        <w:rPr>
          <w:rFonts w:ascii="Helvetica" w:eastAsia="Times New Roman" w:hAnsi="Helvetica" w:cs="Helvetica"/>
          <w:color w:val="333333"/>
          <w:sz w:val="18"/>
          <w:szCs w:val="18"/>
          <w:shd w:val="clear" w:color="auto" w:fill="FFFFFF"/>
        </w:rPr>
        <w:t>;249:16</w:t>
      </w:r>
      <w:proofErr w:type="gramEnd"/>
      <w:r w:rsidRPr="00F809BD">
        <w:rPr>
          <w:rFonts w:ascii="Helvetica" w:eastAsia="Times New Roman" w:hAnsi="Helvetica" w:cs="Helvetica"/>
          <w:color w:val="333333"/>
          <w:sz w:val="18"/>
          <w:szCs w:val="18"/>
          <w:shd w:val="clear" w:color="auto" w:fill="FFFFFF"/>
        </w:rPr>
        <w:t>-31.</w:t>
      </w:r>
    </w:p>
    <w:tbl>
      <w:tblPr>
        <w:tblW w:w="10065" w:type="dxa"/>
        <w:tblCellMar>
          <w:left w:w="0" w:type="dxa"/>
          <w:right w:w="0" w:type="dxa"/>
        </w:tblCellMar>
        <w:tblLook w:val="04A0"/>
      </w:tblPr>
      <w:tblGrid>
        <w:gridCol w:w="1053"/>
        <w:gridCol w:w="6089"/>
        <w:gridCol w:w="1183"/>
        <w:gridCol w:w="1740"/>
      </w:tblGrid>
      <w:tr w:rsidR="00F809BD" w:rsidRPr="00F809BD" w:rsidTr="00F809BD">
        <w:trPr>
          <w:tblHeader/>
        </w:trPr>
        <w:tc>
          <w:tcPr>
            <w:tcW w:w="0" w:type="auto"/>
            <w:gridSpan w:val="2"/>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jc w:val="center"/>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Appearance</w:t>
            </w:r>
          </w:p>
        </w:tc>
        <w:tc>
          <w:tcPr>
            <w:tcW w:w="0" w:type="auto"/>
            <w:gridSpan w:val="2"/>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jc w:val="center"/>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Recommendation</w:t>
            </w:r>
          </w:p>
        </w:tc>
      </w:tr>
      <w:tr w:rsidR="00F809BD" w:rsidRPr="00F809BD" w:rsidTr="00F809BD">
        <w:trPr>
          <w:tblHeader/>
        </w:trPr>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proofErr w:type="spellStart"/>
            <w:r w:rsidRPr="00F809BD">
              <w:rPr>
                <w:rFonts w:ascii="Times New Roman" w:eastAsia="Times New Roman" w:hAnsi="Times New Roman" w:cs="Times New Roman"/>
                <w:b/>
                <w:bCs/>
                <w:sz w:val="18"/>
                <w:szCs w:val="18"/>
              </w:rPr>
              <w:t>Bosniak</w:t>
            </w:r>
            <w:proofErr w:type="spellEnd"/>
            <w:r w:rsidRPr="00F809BD">
              <w:rPr>
                <w:rFonts w:ascii="Times New Roman" w:eastAsia="Times New Roman" w:hAnsi="Times New Roman" w:cs="Times New Roman"/>
                <w:b/>
                <w:bCs/>
                <w:sz w:val="18"/>
                <w:szCs w:val="18"/>
              </w:rPr>
              <w:t xml:space="preserve"> Category</w:t>
            </w:r>
          </w:p>
        </w:tc>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Imaging Features</w:t>
            </w:r>
          </w:p>
        </w:tc>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General Population</w:t>
            </w:r>
          </w:p>
        </w:tc>
        <w:tc>
          <w:tcPr>
            <w:tcW w:w="0" w:type="auto"/>
            <w:tcBorders>
              <w:top w:val="nil"/>
              <w:left w:val="nil"/>
              <w:bottom w:val="single" w:sz="6" w:space="0" w:color="CCCCCC"/>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proofErr w:type="spellStart"/>
            <w:r w:rsidRPr="00F809BD">
              <w:rPr>
                <w:rFonts w:ascii="Times New Roman" w:eastAsia="Times New Roman" w:hAnsi="Times New Roman" w:cs="Times New Roman"/>
                <w:b/>
                <w:bCs/>
                <w:sz w:val="18"/>
                <w:szCs w:val="18"/>
              </w:rPr>
              <w:t>Comorbidities</w:t>
            </w:r>
            <w:proofErr w:type="spellEnd"/>
            <w:r w:rsidRPr="00F809BD">
              <w:rPr>
                <w:rFonts w:ascii="Times New Roman" w:eastAsia="Times New Roman" w:hAnsi="Times New Roman" w:cs="Times New Roman"/>
                <w:b/>
                <w:bCs/>
                <w:sz w:val="18"/>
                <w:szCs w:val="18"/>
              </w:rPr>
              <w:t xml:space="preserve"> or Limited Life Expectancy</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I</w:t>
            </w:r>
            <w:bookmarkStart w:id="0" w:name="back-tblfn2"/>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"tblfn2"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bookmarkEnd w:id="0"/>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Hairline-thin wall; no septa, calcifications, or solid components; water attenuation; no enhancement</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Ignore</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Ignore</w:t>
            </w:r>
          </w:p>
        </w:tc>
      </w:tr>
      <w:tr w:rsidR="00F809BD" w:rsidRPr="00F809BD" w:rsidTr="00F809BD">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II</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 xml:space="preserve">Few hairline-thin septa with or without perceived (not measurable) enhancement; fine calcification or short segment of slightly thickened calcification in the wall or septa; homogeneously high-attenuating masses (≤3 cm) that are sharply </w:t>
            </w:r>
            <w:proofErr w:type="spellStart"/>
            <w:r w:rsidRPr="00F809BD">
              <w:rPr>
                <w:rFonts w:ascii="Times New Roman" w:eastAsia="Times New Roman" w:hAnsi="Times New Roman" w:cs="Times New Roman"/>
                <w:sz w:val="17"/>
                <w:szCs w:val="17"/>
              </w:rPr>
              <w:t>marginated</w:t>
            </w:r>
            <w:proofErr w:type="spellEnd"/>
            <w:r w:rsidRPr="00F809BD">
              <w:rPr>
                <w:rFonts w:ascii="Times New Roman" w:eastAsia="Times New Roman" w:hAnsi="Times New Roman" w:cs="Times New Roman"/>
                <w:sz w:val="17"/>
                <w:szCs w:val="17"/>
              </w:rPr>
              <w:t xml:space="preserve"> and do not enhance</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Ignore</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Ignore</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bookmarkStart w:id="1" w:name="back-tblfn4" w:colFirst="2" w:colLast="3"/>
            <w:r w:rsidRPr="00F809BD">
              <w:rPr>
                <w:rFonts w:ascii="Times New Roman" w:eastAsia="Times New Roman" w:hAnsi="Times New Roman" w:cs="Times New Roman"/>
                <w:sz w:val="17"/>
                <w:szCs w:val="17"/>
              </w:rPr>
              <w:t>IIF</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 xml:space="preserve">Multiple hairline-thin septa with or without perceived (not measurable) enhancement, minimal smooth thickening of wall or septa that may show perceived (not measureable) enhancement, calcification may be thick and nodular but no measurable enhancement present; no enhancing soft tissue components; </w:t>
            </w:r>
            <w:proofErr w:type="spellStart"/>
            <w:r w:rsidRPr="00F809BD">
              <w:rPr>
                <w:rFonts w:ascii="Times New Roman" w:eastAsia="Times New Roman" w:hAnsi="Times New Roman" w:cs="Times New Roman"/>
                <w:sz w:val="17"/>
                <w:szCs w:val="17"/>
              </w:rPr>
              <w:t>intrarenal</w:t>
            </w:r>
            <w:proofErr w:type="spellEnd"/>
            <w:r w:rsidRPr="00F809BD">
              <w:rPr>
                <w:rFonts w:ascii="Times New Roman" w:eastAsia="Times New Roman" w:hAnsi="Times New Roman" w:cs="Times New Roman"/>
                <w:sz w:val="17"/>
                <w:szCs w:val="17"/>
              </w:rPr>
              <w:t xml:space="preserve"> </w:t>
            </w:r>
            <w:proofErr w:type="spellStart"/>
            <w:r w:rsidRPr="00F809BD">
              <w:rPr>
                <w:rFonts w:ascii="Times New Roman" w:eastAsia="Times New Roman" w:hAnsi="Times New Roman" w:cs="Times New Roman"/>
                <w:sz w:val="17"/>
                <w:szCs w:val="17"/>
              </w:rPr>
              <w:t>nonenhancing</w:t>
            </w:r>
            <w:proofErr w:type="spellEnd"/>
            <w:r w:rsidRPr="00F809BD">
              <w:rPr>
                <w:rFonts w:ascii="Times New Roman" w:eastAsia="Times New Roman" w:hAnsi="Times New Roman" w:cs="Times New Roman"/>
                <w:sz w:val="17"/>
                <w:szCs w:val="17"/>
              </w:rPr>
              <w:t xml:space="preserve"> high-attenuation renal masses (&gt;3 cm)</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Observe</w:t>
            </w:r>
            <w:bookmarkStart w:id="2" w:name="back-tblfn1"/>
            <w:r>
              <w:rPr>
                <w:rFonts w:ascii="Times New Roman" w:eastAsia="Times New Roman" w:hAnsi="Times New Roman" w:cs="Times New Roman"/>
                <w:noProof/>
                <w:color w:val="336699"/>
                <w:sz w:val="20"/>
                <w:szCs w:val="20"/>
                <w:bdr w:val="none" w:sz="0" w:space="0" w:color="auto" w:frame="1"/>
                <w:vertAlign w:val="superscript"/>
              </w:rPr>
              <w:drawing>
                <wp:inline distT="0" distB="0" distL="0" distR="0">
                  <wp:extent cx="85725" cy="66675"/>
                  <wp:effectExtent l="19050" t="0" r="9525" b="0"/>
                  <wp:docPr id="1" name="Picture 1" descr="http://www.jacr.org/webfiles/images/FLA/Glyphs/u204e.gif">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cr.org/webfiles/images/FLA/Glyphs/u204e.gif">
                            <a:hlinkClick r:id="rId4" tooltip="&quot;&quot;"/>
                          </pic:cNvPr>
                          <pic:cNvPicPr>
                            <a:picLocks noChangeAspect="1" noChangeArrowheads="1"/>
                          </pic:cNvPicPr>
                        </pic:nvPicPr>
                        <pic:blipFill>
                          <a:blip r:embed="rId5"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bookmarkEnd w:id="2"/>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"tblfn4"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Observe</w:t>
            </w:r>
            <w:hyperlink r:id="rId6" w:anchor="tblfn4" w:tooltip="" w:history="1">
              <w:r w:rsidRPr="00F809BD">
                <w:rPr>
                  <w:rFonts w:ascii="Times New Roman" w:eastAsia="Times New Roman" w:hAnsi="Times New Roman" w:cs="Times New Roman"/>
                  <w:color w:val="336699"/>
                  <w:sz w:val="17"/>
                  <w:u w:val="single"/>
                </w:rPr>
                <w:t>§</w:t>
              </w:r>
            </w:hyperlink>
            <w:r>
              <w:rPr>
                <w:rFonts w:ascii="Times New Roman" w:eastAsia="Times New Roman" w:hAnsi="Times New Roman" w:cs="Times New Roman"/>
                <w:noProof/>
                <w:sz w:val="17"/>
                <w:szCs w:val="17"/>
              </w:rPr>
              <w:drawing>
                <wp:inline distT="0" distB="0" distL="0" distR="0">
                  <wp:extent cx="38100" cy="9525"/>
                  <wp:effectExtent l="0" t="0" r="0" b="0"/>
                  <wp:docPr id="2" name="Picture 2" descr="http://www.jacr.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cr.org/webfiles/images/transparent.gif"/>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F809BD">
              <w:rPr>
                <w:rFonts w:ascii="Times New Roman" w:eastAsia="Times New Roman" w:hAnsi="Times New Roman" w:cs="Times New Roman"/>
                <w:sz w:val="17"/>
                <w:szCs w:val="17"/>
              </w:rPr>
              <w:t>or</w:t>
            </w:r>
            <w:r>
              <w:rPr>
                <w:rFonts w:ascii="Times New Roman" w:eastAsia="Times New Roman" w:hAnsi="Times New Roman" w:cs="Times New Roman"/>
                <w:noProof/>
                <w:sz w:val="17"/>
                <w:szCs w:val="17"/>
              </w:rPr>
              <w:drawing>
                <wp:inline distT="0" distB="0" distL="0" distR="0">
                  <wp:extent cx="38100" cy="9525"/>
                  <wp:effectExtent l="0" t="0" r="0" b="0"/>
                  <wp:docPr id="3" name="Picture 3" descr="http://www.jacr.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cr.org/webfiles/images/transparent.gif"/>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F809BD">
              <w:rPr>
                <w:rFonts w:ascii="Times New Roman" w:eastAsia="Times New Roman" w:hAnsi="Times New Roman" w:cs="Times New Roman"/>
                <w:sz w:val="17"/>
                <w:szCs w:val="17"/>
              </w:rPr>
              <w:t>ignore</w:t>
            </w:r>
            <w:bookmarkStart w:id="3" w:name="back-tblfn5"/>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"tblfn5" \o "" </w:instrText>
            </w:r>
            <w:r w:rsidRPr="00F809BD">
              <w:rPr>
                <w:rFonts w:ascii="Times New Roman" w:eastAsia="Times New Roman" w:hAnsi="Times New Roman" w:cs="Times New Roman"/>
                <w:sz w:val="17"/>
                <w:szCs w:val="17"/>
              </w:rPr>
              <w:fldChar w:fldCharType="separate"/>
            </w:r>
            <w:r w:rsidRPr="00F809BD">
              <w:rPr>
                <w:rFonts w:ascii="Cambria Math" w:eastAsia="Times New Roman" w:hAnsi="Cambria Math" w:cs="Cambria Math"/>
                <w:color w:val="336699"/>
                <w:sz w:val="17"/>
                <w:u w:val="single"/>
              </w:rPr>
              <w:t>∥</w:t>
            </w:r>
            <w:r w:rsidRPr="00F809BD">
              <w:rPr>
                <w:rFonts w:ascii="Times New Roman" w:eastAsia="Times New Roman" w:hAnsi="Times New Roman" w:cs="Times New Roman"/>
                <w:sz w:val="17"/>
                <w:szCs w:val="17"/>
              </w:rPr>
              <w:fldChar w:fldCharType="end"/>
            </w:r>
            <w:bookmarkEnd w:id="3"/>
          </w:p>
        </w:tc>
      </w:tr>
      <w:tr w:rsidR="00F809BD" w:rsidRPr="00F809BD" w:rsidTr="00F809BD">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bookmarkStart w:id="4" w:name="back-tblfn3" w:colFirst="2" w:colLast="3"/>
            <w:r w:rsidRPr="00F809BD">
              <w:rPr>
                <w:rFonts w:ascii="Times New Roman" w:eastAsia="Times New Roman" w:hAnsi="Times New Roman" w:cs="Times New Roman"/>
                <w:sz w:val="17"/>
                <w:szCs w:val="17"/>
              </w:rPr>
              <w:t>III</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Thickened irregular or smooth walls or septa, with measurable enhancement</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hyperlink r:id="rId8" w:anchor="tblfn3" w:tooltip="" w:history="1">
              <w:r w:rsidRPr="00F809BD">
                <w:rPr>
                  <w:rFonts w:ascii="Times New Roman" w:eastAsia="Times New Roman" w:hAnsi="Times New Roman" w:cs="Times New Roman"/>
                  <w:color w:val="336699"/>
                  <w:sz w:val="17"/>
                  <w:u w:val="single"/>
                </w:rPr>
                <w:t>‡</w:t>
              </w:r>
            </w:hyperlink>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hyperlink r:id="rId9" w:anchor="tblfn3" w:tooltip="" w:history="1">
              <w:r w:rsidRPr="00F809BD">
                <w:rPr>
                  <w:rFonts w:ascii="Times New Roman" w:eastAsia="Times New Roman" w:hAnsi="Times New Roman" w:cs="Times New Roman"/>
                  <w:color w:val="336699"/>
                  <w:sz w:val="17"/>
                  <w:u w:val="single"/>
                </w:rPr>
                <w:t>‡</w:t>
              </w:r>
            </w:hyperlink>
            <w:r>
              <w:rPr>
                <w:rFonts w:ascii="Times New Roman" w:eastAsia="Times New Roman" w:hAnsi="Times New Roman" w:cs="Times New Roman"/>
                <w:noProof/>
                <w:sz w:val="17"/>
                <w:szCs w:val="17"/>
              </w:rPr>
              <w:drawing>
                <wp:inline distT="0" distB="0" distL="0" distR="0">
                  <wp:extent cx="38100" cy="9525"/>
                  <wp:effectExtent l="0" t="0" r="0" b="0"/>
                  <wp:docPr id="4" name="Picture 4" descr="http://www.jacr.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acr.org/webfiles/images/transparent.gif"/>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F809BD">
              <w:rPr>
                <w:rFonts w:ascii="Times New Roman" w:eastAsia="Times New Roman" w:hAnsi="Times New Roman" w:cs="Times New Roman"/>
                <w:sz w:val="17"/>
                <w:szCs w:val="17"/>
              </w:rPr>
              <w:t>or</w:t>
            </w:r>
            <w:r>
              <w:rPr>
                <w:rFonts w:ascii="Times New Roman" w:eastAsia="Times New Roman" w:hAnsi="Times New Roman" w:cs="Times New Roman"/>
                <w:noProof/>
                <w:sz w:val="17"/>
                <w:szCs w:val="17"/>
              </w:rPr>
              <w:drawing>
                <wp:inline distT="0" distB="0" distL="0" distR="0">
                  <wp:extent cx="38100" cy="9525"/>
                  <wp:effectExtent l="0" t="0" r="0" b="0"/>
                  <wp:docPr id="5" name="Picture 5" descr="http://www.jacr.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acr.org/webfiles/images/transparent.gif"/>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F809BD">
              <w:rPr>
                <w:rFonts w:ascii="Times New Roman" w:eastAsia="Times New Roman" w:hAnsi="Times New Roman" w:cs="Times New Roman"/>
                <w:sz w:val="17"/>
                <w:szCs w:val="17"/>
              </w:rPr>
              <w:t>observe</w:t>
            </w:r>
            <w:hyperlink r:id="rId10" w:anchor="tblfn4" w:tooltip="" w:history="1">
              <w:r w:rsidRPr="00F809BD">
                <w:rPr>
                  <w:rFonts w:ascii="Times New Roman" w:eastAsia="Times New Roman" w:hAnsi="Times New Roman" w:cs="Times New Roman"/>
                  <w:color w:val="336699"/>
                  <w:sz w:val="17"/>
                  <w:u w:val="single"/>
                </w:rPr>
                <w:t>§</w:t>
              </w:r>
            </w:hyperlink>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IV</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Criteria of category III, but also containing enhancing soft tissue components adjacent to or separate from the wall or septa</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hyperlink r:id="rId11" w:anchor="tblfn3" w:tooltip="" w:history="1">
              <w:r w:rsidRPr="00F809BD">
                <w:rPr>
                  <w:rFonts w:ascii="Times New Roman" w:eastAsia="Times New Roman" w:hAnsi="Times New Roman" w:cs="Times New Roman"/>
                  <w:color w:val="336699"/>
                  <w:sz w:val="17"/>
                  <w:u w:val="single"/>
                </w:rPr>
                <w:t>‡</w:t>
              </w:r>
            </w:hyperlink>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hyperlink r:id="rId12" w:anchor="tblfn3" w:tooltip="" w:history="1">
              <w:r w:rsidRPr="00F809BD">
                <w:rPr>
                  <w:rFonts w:ascii="Times New Roman" w:eastAsia="Times New Roman" w:hAnsi="Times New Roman" w:cs="Times New Roman"/>
                  <w:color w:val="336699"/>
                  <w:sz w:val="17"/>
                  <w:u w:val="single"/>
                </w:rPr>
                <w:t>‡</w:t>
              </w:r>
            </w:hyperlink>
            <w:r>
              <w:rPr>
                <w:rFonts w:ascii="Times New Roman" w:eastAsia="Times New Roman" w:hAnsi="Times New Roman" w:cs="Times New Roman"/>
                <w:noProof/>
                <w:sz w:val="17"/>
                <w:szCs w:val="17"/>
              </w:rPr>
              <w:drawing>
                <wp:inline distT="0" distB="0" distL="0" distR="0">
                  <wp:extent cx="38100" cy="9525"/>
                  <wp:effectExtent l="0" t="0" r="0" b="0"/>
                  <wp:docPr id="6" name="Picture 6" descr="http://www.jacr.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acr.org/webfiles/images/transparent.gif"/>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F809BD">
              <w:rPr>
                <w:rFonts w:ascii="Times New Roman" w:eastAsia="Times New Roman" w:hAnsi="Times New Roman" w:cs="Times New Roman"/>
                <w:sz w:val="17"/>
                <w:szCs w:val="17"/>
              </w:rPr>
              <w:t>or</w:t>
            </w:r>
            <w:r>
              <w:rPr>
                <w:rFonts w:ascii="Times New Roman" w:eastAsia="Times New Roman" w:hAnsi="Times New Roman" w:cs="Times New Roman"/>
                <w:noProof/>
                <w:sz w:val="17"/>
                <w:szCs w:val="17"/>
              </w:rPr>
              <w:drawing>
                <wp:inline distT="0" distB="0" distL="0" distR="0">
                  <wp:extent cx="38100" cy="9525"/>
                  <wp:effectExtent l="0" t="0" r="0" b="0"/>
                  <wp:docPr id="7" name="Picture 7" descr="http://www.jacr.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acr.org/webfiles/images/transparent.gif"/>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F809BD">
              <w:rPr>
                <w:rFonts w:ascii="Times New Roman" w:eastAsia="Times New Roman" w:hAnsi="Times New Roman" w:cs="Times New Roman"/>
                <w:sz w:val="17"/>
                <w:szCs w:val="17"/>
              </w:rPr>
              <w:t>observe</w:t>
            </w:r>
            <w:hyperlink r:id="rId13" w:anchor="tblfn4" w:tooltip="" w:history="1">
              <w:r w:rsidRPr="00F809BD">
                <w:rPr>
                  <w:rFonts w:ascii="Times New Roman" w:eastAsia="Times New Roman" w:hAnsi="Times New Roman" w:cs="Times New Roman"/>
                  <w:color w:val="336699"/>
                  <w:sz w:val="17"/>
                  <w:u w:val="single"/>
                </w:rPr>
                <w:t>§</w:t>
              </w:r>
            </w:hyperlink>
          </w:p>
        </w:tc>
      </w:tr>
    </w:tbl>
    <w:bookmarkEnd w:id="1"/>
    <w:bookmarkEnd w:id="4"/>
    <w:p w:rsidR="00F809BD" w:rsidRPr="00F809BD" w:rsidRDefault="00F809BD" w:rsidP="00F809BD">
      <w:pPr>
        <w:shd w:val="clear" w:color="auto" w:fill="FFFFFF"/>
        <w:spacing w:after="150" w:line="240" w:lineRule="atLeast"/>
        <w:textAlignment w:val="baseline"/>
        <w:rPr>
          <w:rFonts w:ascii="Helvetica" w:eastAsia="Times New Roman" w:hAnsi="Helvetica" w:cs="Helvetica"/>
          <w:color w:val="333333"/>
          <w:sz w:val="18"/>
          <w:szCs w:val="18"/>
        </w:rPr>
      </w:pPr>
      <w:r w:rsidRPr="00F809BD">
        <w:rPr>
          <w:rFonts w:ascii="Helvetica" w:eastAsia="Times New Roman" w:hAnsi="Helvetica" w:cs="Helvetica"/>
          <w:color w:val="333333"/>
          <w:sz w:val="18"/>
          <w:szCs w:val="18"/>
        </w:rPr>
        <w:t xml:space="preserve">Note: These recommendations are to be followed only if </w:t>
      </w:r>
      <w:proofErr w:type="spellStart"/>
      <w:r w:rsidRPr="00F809BD">
        <w:rPr>
          <w:rFonts w:ascii="Helvetica" w:eastAsia="Times New Roman" w:hAnsi="Helvetica" w:cs="Helvetica"/>
          <w:color w:val="333333"/>
          <w:sz w:val="18"/>
          <w:szCs w:val="18"/>
        </w:rPr>
        <w:t>nonneoplastic</w:t>
      </w:r>
      <w:proofErr w:type="spellEnd"/>
      <w:r w:rsidRPr="00F809BD">
        <w:rPr>
          <w:rFonts w:ascii="Helvetica" w:eastAsia="Times New Roman" w:hAnsi="Helvetica" w:cs="Helvetica"/>
          <w:color w:val="333333"/>
          <w:sz w:val="18"/>
          <w:szCs w:val="18"/>
        </w:rPr>
        <w:t xml:space="preserve"> causes of a renal mass (</w:t>
      </w:r>
      <w:proofErr w:type="spellStart"/>
      <w:r w:rsidRPr="00F809BD">
        <w:rPr>
          <w:rFonts w:ascii="Helvetica" w:eastAsia="Times New Roman" w:hAnsi="Helvetica" w:cs="Helvetica"/>
          <w:color w:val="333333"/>
          <w:sz w:val="18"/>
          <w:szCs w:val="18"/>
        </w:rPr>
        <w:t>eg</w:t>
      </w:r>
      <w:proofErr w:type="spellEnd"/>
      <w:r w:rsidRPr="00F809BD">
        <w:rPr>
          <w:rFonts w:ascii="Helvetica" w:eastAsia="Times New Roman" w:hAnsi="Helvetica" w:cs="Helvetica"/>
          <w:color w:val="333333"/>
          <w:sz w:val="18"/>
          <w:szCs w:val="18"/>
        </w:rPr>
        <w:t>, infections) have been excluded; see text for details. The recommendations are offered as general guidance and do not necessarily apply to all patients.</w:t>
      </w:r>
    </w:p>
    <w:tbl>
      <w:tblPr>
        <w:tblW w:w="10170" w:type="dxa"/>
        <w:shd w:val="clear" w:color="auto" w:fill="FFFFFF"/>
        <w:tblCellMar>
          <w:left w:w="0" w:type="dxa"/>
          <w:right w:w="0" w:type="dxa"/>
        </w:tblCellMar>
        <w:tblLook w:val="04A0"/>
      </w:tblPr>
      <w:tblGrid>
        <w:gridCol w:w="10170"/>
      </w:tblGrid>
      <w:tr w:rsidR="00F809BD" w:rsidRPr="00F809BD" w:rsidTr="00F809BD">
        <w:tc>
          <w:tcPr>
            <w:tcW w:w="0" w:type="auto"/>
            <w:shd w:val="clear" w:color="auto" w:fill="auto"/>
            <w:vAlign w:val="center"/>
            <w:hideMark/>
          </w:tcPr>
          <w:p w:rsidR="00F809BD" w:rsidRPr="00F809BD" w:rsidRDefault="00F809BD" w:rsidP="00F809BD">
            <w:pPr>
              <w:spacing w:after="0" w:line="240" w:lineRule="atLeast"/>
              <w:rPr>
                <w:rFonts w:ascii="Helvetica" w:eastAsia="Times New Roman" w:hAnsi="Helvetica" w:cs="Helvetica"/>
                <w:color w:val="333333"/>
                <w:sz w:val="18"/>
                <w:szCs w:val="18"/>
              </w:rPr>
            </w:pP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r>
              <w:rPr>
                <w:rFonts w:ascii="Helvetica" w:eastAsia="Times New Roman" w:hAnsi="Helvetica" w:cs="Helvetica"/>
                <w:noProof/>
                <w:color w:val="336699"/>
                <w:sz w:val="17"/>
                <w:szCs w:val="17"/>
                <w:bdr w:val="none" w:sz="0" w:space="0" w:color="auto" w:frame="1"/>
              </w:rPr>
              <w:drawing>
                <wp:inline distT="0" distB="0" distL="0" distR="0">
                  <wp:extent cx="85725" cy="66675"/>
                  <wp:effectExtent l="19050" t="0" r="9525" b="0"/>
                  <wp:docPr id="8" name="Picture 8" descr="http://www.jacr.org/webfiles/images/FLA/Glyphs/u204e.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acr.org/webfiles/images/FLA/Glyphs/u204e.gif">
                            <a:hlinkClick r:id="rId14"/>
                          </pic:cNvPr>
                          <pic:cNvPicPr>
                            <a:picLocks noChangeAspect="1" noChangeArrowheads="1"/>
                          </pic:cNvPicPr>
                        </pic:nvPicPr>
                        <pic:blipFill>
                          <a:blip r:embed="rId5"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F809BD">
              <w:rPr>
                <w:rFonts w:ascii="Helvetica" w:eastAsia="Times New Roman" w:hAnsi="Helvetica" w:cs="Helvetica"/>
                <w:color w:val="333333"/>
                <w:sz w:val="17"/>
                <w:szCs w:val="17"/>
              </w:rPr>
              <w:t>In selected patients (</w:t>
            </w:r>
            <w:proofErr w:type="spellStart"/>
            <w:r w:rsidRPr="00F809BD">
              <w:rPr>
                <w:rFonts w:ascii="Helvetica" w:eastAsia="Times New Roman" w:hAnsi="Helvetica" w:cs="Helvetica"/>
                <w:color w:val="333333"/>
                <w:sz w:val="17"/>
                <w:szCs w:val="17"/>
              </w:rPr>
              <w:t>eg</w:t>
            </w:r>
            <w:proofErr w:type="spellEnd"/>
            <w:r w:rsidRPr="00F809BD">
              <w:rPr>
                <w:rFonts w:ascii="Helvetica" w:eastAsia="Times New Roman" w:hAnsi="Helvetica" w:cs="Helvetica"/>
                <w:color w:val="333333"/>
                <w:sz w:val="17"/>
                <w:szCs w:val="17"/>
              </w:rPr>
              <w:t>, young), early surgical intervention may be considered, particularly if a minimally invasive approach (</w:t>
            </w:r>
            <w:proofErr w:type="spellStart"/>
            <w:r w:rsidRPr="00F809BD">
              <w:rPr>
                <w:rFonts w:ascii="Helvetica" w:eastAsia="Times New Roman" w:hAnsi="Helvetica" w:cs="Helvetica"/>
                <w:color w:val="333333"/>
                <w:sz w:val="17"/>
                <w:szCs w:val="17"/>
              </w:rPr>
              <w:t>eg</w:t>
            </w:r>
            <w:proofErr w:type="spellEnd"/>
            <w:r w:rsidRPr="00F809BD">
              <w:rPr>
                <w:rFonts w:ascii="Helvetica" w:eastAsia="Times New Roman" w:hAnsi="Helvetica" w:cs="Helvetica"/>
                <w:color w:val="333333"/>
                <w:sz w:val="17"/>
                <w:szCs w:val="17"/>
              </w:rPr>
              <w:t xml:space="preserve">, laparoscopic partial </w:t>
            </w:r>
            <w:proofErr w:type="spellStart"/>
            <w:r w:rsidRPr="00F809BD">
              <w:rPr>
                <w:rFonts w:ascii="Helvetica" w:eastAsia="Times New Roman" w:hAnsi="Helvetica" w:cs="Helvetica"/>
                <w:color w:val="333333"/>
                <w:sz w:val="17"/>
                <w:szCs w:val="17"/>
              </w:rPr>
              <w:t>nephrectomy</w:t>
            </w:r>
            <w:proofErr w:type="spellEnd"/>
            <w:r w:rsidRPr="00F809BD">
              <w:rPr>
                <w:rFonts w:ascii="Helvetica" w:eastAsia="Times New Roman" w:hAnsi="Helvetica" w:cs="Helvetica"/>
                <w:color w:val="333333"/>
                <w:sz w:val="17"/>
                <w:szCs w:val="17"/>
              </w:rPr>
              <w:t>) can be used.</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15" w:anchor="back-tblfn2"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When a mass &lt;1 cm has the appearance of a simple cyst, further workup is not likely to yield useful information.</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16" w:anchor="back-tblfn3"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 xml:space="preserve">Surgical options include open or laparoscopic </w:t>
            </w:r>
            <w:proofErr w:type="spellStart"/>
            <w:r w:rsidRPr="00F809BD">
              <w:rPr>
                <w:rFonts w:ascii="Helvetica" w:eastAsia="Times New Roman" w:hAnsi="Helvetica" w:cs="Helvetica"/>
                <w:color w:val="333333"/>
                <w:sz w:val="17"/>
                <w:szCs w:val="17"/>
              </w:rPr>
              <w:t>nephrectomy</w:t>
            </w:r>
            <w:proofErr w:type="spellEnd"/>
            <w:r w:rsidRPr="00F809BD">
              <w:rPr>
                <w:rFonts w:ascii="Helvetica" w:eastAsia="Times New Roman" w:hAnsi="Helvetica" w:cs="Helvetica"/>
                <w:color w:val="333333"/>
                <w:sz w:val="17"/>
                <w:szCs w:val="17"/>
              </w:rPr>
              <w:t xml:space="preserve"> and partial </w:t>
            </w:r>
            <w:proofErr w:type="spellStart"/>
            <w:r w:rsidRPr="00F809BD">
              <w:rPr>
                <w:rFonts w:ascii="Helvetica" w:eastAsia="Times New Roman" w:hAnsi="Helvetica" w:cs="Helvetica"/>
                <w:color w:val="333333"/>
                <w:sz w:val="17"/>
                <w:szCs w:val="17"/>
              </w:rPr>
              <w:t>nephrectomy</w:t>
            </w:r>
            <w:proofErr w:type="spellEnd"/>
            <w:r w:rsidRPr="00F809BD">
              <w:rPr>
                <w:rFonts w:ascii="Helvetica" w:eastAsia="Times New Roman" w:hAnsi="Helvetica" w:cs="Helvetica"/>
                <w:color w:val="333333"/>
                <w:sz w:val="17"/>
                <w:szCs w:val="17"/>
              </w:rPr>
              <w:t xml:space="preserve">; each provides a tissue diagnosis. Open, laparoscopic, and </w:t>
            </w:r>
            <w:proofErr w:type="spellStart"/>
            <w:r w:rsidRPr="00F809BD">
              <w:rPr>
                <w:rFonts w:ascii="Helvetica" w:eastAsia="Times New Roman" w:hAnsi="Helvetica" w:cs="Helvetica"/>
                <w:color w:val="333333"/>
                <w:sz w:val="17"/>
                <w:szCs w:val="17"/>
              </w:rPr>
              <w:t>percutaneous</w:t>
            </w:r>
            <w:proofErr w:type="spellEnd"/>
            <w:r w:rsidRPr="00F809BD">
              <w:rPr>
                <w:rFonts w:ascii="Helvetica" w:eastAsia="Times New Roman" w:hAnsi="Helvetica" w:cs="Helvetica"/>
                <w:color w:val="333333"/>
                <w:sz w:val="17"/>
                <w:szCs w:val="17"/>
              </w:rPr>
              <w:t xml:space="preserve"> ablation may be considered when available, but biopsy would be needed to achieve a tissue diagnosis. Long-term (5-year or 10-year) results of ablation are not yet known.</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17" w:anchor="back-tblfn4"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Computed tomography or MRI at 6 and 12 months, then yearly for 5 years; the interval and duration of observation may be varied (</w:t>
            </w:r>
            <w:proofErr w:type="spellStart"/>
            <w:r w:rsidRPr="00F809BD">
              <w:rPr>
                <w:rFonts w:ascii="Helvetica" w:eastAsia="Times New Roman" w:hAnsi="Helvetica" w:cs="Helvetica"/>
                <w:color w:val="333333"/>
                <w:sz w:val="17"/>
                <w:szCs w:val="17"/>
              </w:rPr>
              <w:t>eg</w:t>
            </w:r>
            <w:proofErr w:type="spellEnd"/>
            <w:r w:rsidRPr="00F809BD">
              <w:rPr>
                <w:rFonts w:ascii="Helvetica" w:eastAsia="Times New Roman" w:hAnsi="Helvetica" w:cs="Helvetica"/>
                <w:color w:val="333333"/>
                <w:sz w:val="17"/>
                <w:szCs w:val="17"/>
              </w:rPr>
              <w:t>, longer intervals may be chosen if the mass is unchanged, longer duration may be chosen for greater assurance).</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18" w:anchor="back-tblfn5" w:history="1">
              <w:r w:rsidRPr="00F809BD">
                <w:rPr>
                  <w:rFonts w:ascii="Cambria Math" w:eastAsia="Times New Roman" w:hAnsi="Cambria Math" w:cs="Cambria Math"/>
                  <w:color w:val="336699"/>
                  <w:sz w:val="17"/>
                  <w:u w:val="single"/>
                </w:rPr>
                <w:t>∥</w:t>
              </w:r>
            </w:hyperlink>
            <w:r w:rsidRPr="00F809BD">
              <w:rPr>
                <w:rFonts w:ascii="Helvetica" w:eastAsia="Times New Roman" w:hAnsi="Helvetica" w:cs="Helvetica"/>
                <w:color w:val="333333"/>
                <w:sz w:val="17"/>
                <w:szCs w:val="17"/>
              </w:rPr>
              <w:t xml:space="preserve">Cystic masses ≤1.5 cm that are not clearly simple cysts or that cannot be characterized completely may not require further evaluation in patients with </w:t>
            </w:r>
            <w:proofErr w:type="spellStart"/>
            <w:r w:rsidRPr="00F809BD">
              <w:rPr>
                <w:rFonts w:ascii="Helvetica" w:eastAsia="Times New Roman" w:hAnsi="Helvetica" w:cs="Helvetica"/>
                <w:color w:val="333333"/>
                <w:sz w:val="17"/>
                <w:szCs w:val="17"/>
              </w:rPr>
              <w:t>comorbidities</w:t>
            </w:r>
            <w:proofErr w:type="spellEnd"/>
            <w:r w:rsidRPr="00F809BD">
              <w:rPr>
                <w:rFonts w:ascii="Helvetica" w:eastAsia="Times New Roman" w:hAnsi="Helvetica" w:cs="Helvetica"/>
                <w:color w:val="333333"/>
                <w:sz w:val="17"/>
                <w:szCs w:val="17"/>
              </w:rPr>
              <w:t xml:space="preserve"> and in patients with limited life expectancy. Reprinted with permission from Radiology 2008</w:t>
            </w:r>
            <w:proofErr w:type="gramStart"/>
            <w:r w:rsidRPr="00F809BD">
              <w:rPr>
                <w:rFonts w:ascii="Helvetica" w:eastAsia="Times New Roman" w:hAnsi="Helvetica" w:cs="Helvetica"/>
                <w:color w:val="333333"/>
                <w:sz w:val="17"/>
                <w:szCs w:val="17"/>
              </w:rPr>
              <w:t>;249:16</w:t>
            </w:r>
            <w:proofErr w:type="gramEnd"/>
            <w:r w:rsidRPr="00F809BD">
              <w:rPr>
                <w:rFonts w:ascii="Helvetica" w:eastAsia="Times New Roman" w:hAnsi="Helvetica" w:cs="Helvetica"/>
                <w:color w:val="333333"/>
                <w:sz w:val="17"/>
                <w:szCs w:val="17"/>
              </w:rPr>
              <w:t>-31.</w:t>
            </w:r>
          </w:p>
        </w:tc>
      </w:tr>
    </w:tbl>
    <w:p w:rsidR="00ED11C8" w:rsidRDefault="00ED11C8"/>
    <w:p w:rsidR="00F809BD" w:rsidRDefault="00F809BD"/>
    <w:p w:rsidR="00F809BD" w:rsidRPr="00F809BD" w:rsidRDefault="00F809BD" w:rsidP="00F809BD">
      <w:pPr>
        <w:shd w:val="clear" w:color="auto" w:fill="FFFFFF"/>
        <w:spacing w:after="45" w:line="240" w:lineRule="auto"/>
        <w:textAlignment w:val="baseline"/>
        <w:outlineLvl w:val="4"/>
        <w:rPr>
          <w:rFonts w:ascii="Georgia" w:eastAsia="Times New Roman" w:hAnsi="Georgia" w:cs="Times New Roman"/>
          <w:color w:val="999999"/>
          <w:sz w:val="20"/>
          <w:szCs w:val="20"/>
        </w:rPr>
      </w:pPr>
      <w:proofErr w:type="gramStart"/>
      <w:r w:rsidRPr="00F809BD">
        <w:rPr>
          <w:rFonts w:ascii="Georgia" w:eastAsia="Times New Roman" w:hAnsi="Georgia" w:cs="Times New Roman"/>
          <w:color w:val="999999"/>
          <w:sz w:val="20"/>
          <w:szCs w:val="20"/>
        </w:rPr>
        <w:t>Table 2.</w:t>
      </w:r>
      <w:proofErr w:type="gramEnd"/>
      <w:r w:rsidRPr="00F809BD">
        <w:rPr>
          <w:rFonts w:ascii="Georgia" w:eastAsia="Times New Roman" w:hAnsi="Georgia" w:cs="Times New Roman"/>
          <w:color w:val="999999"/>
          <w:sz w:val="20"/>
          <w:szCs w:val="20"/>
        </w:rPr>
        <w:t xml:space="preserve"> Management recommendations for incidental solid renal masses in patients in the general population</w:t>
      </w:r>
    </w:p>
    <w:p w:rsidR="00F809BD" w:rsidRPr="00F809BD" w:rsidRDefault="00F809BD" w:rsidP="00F809BD">
      <w:pPr>
        <w:spacing w:after="0" w:line="240" w:lineRule="auto"/>
        <w:rPr>
          <w:rFonts w:ascii="Times New Roman" w:eastAsia="Times New Roman" w:hAnsi="Times New Roman" w:cs="Times New Roman"/>
          <w:sz w:val="24"/>
          <w:szCs w:val="24"/>
        </w:rPr>
      </w:pPr>
      <w:r w:rsidRPr="00F809BD">
        <w:rPr>
          <w:rFonts w:ascii="Helvetica" w:eastAsia="Times New Roman" w:hAnsi="Helvetica" w:cs="Helvetica"/>
          <w:color w:val="333333"/>
          <w:sz w:val="18"/>
          <w:szCs w:val="18"/>
          <w:shd w:val="clear" w:color="auto" w:fill="FFFFFF"/>
        </w:rPr>
        <w:t>Reprinted with permission from Radiology 2008</w:t>
      </w:r>
      <w:proofErr w:type="gramStart"/>
      <w:r w:rsidRPr="00F809BD">
        <w:rPr>
          <w:rFonts w:ascii="Helvetica" w:eastAsia="Times New Roman" w:hAnsi="Helvetica" w:cs="Helvetica"/>
          <w:color w:val="333333"/>
          <w:sz w:val="18"/>
          <w:szCs w:val="18"/>
          <w:shd w:val="clear" w:color="auto" w:fill="FFFFFF"/>
        </w:rPr>
        <w:t>;249:16</w:t>
      </w:r>
      <w:proofErr w:type="gramEnd"/>
      <w:r w:rsidRPr="00F809BD">
        <w:rPr>
          <w:rFonts w:ascii="Helvetica" w:eastAsia="Times New Roman" w:hAnsi="Helvetica" w:cs="Helvetica"/>
          <w:color w:val="333333"/>
          <w:sz w:val="18"/>
          <w:szCs w:val="18"/>
          <w:shd w:val="clear" w:color="auto" w:fill="FFFFFF"/>
        </w:rPr>
        <w:t>-31.</w:t>
      </w:r>
    </w:p>
    <w:tbl>
      <w:tblPr>
        <w:tblW w:w="10065" w:type="dxa"/>
        <w:tblCellMar>
          <w:left w:w="0" w:type="dxa"/>
          <w:right w:w="0" w:type="dxa"/>
        </w:tblCellMar>
        <w:tblLook w:val="04A0"/>
      </w:tblPr>
      <w:tblGrid>
        <w:gridCol w:w="1019"/>
        <w:gridCol w:w="2504"/>
        <w:gridCol w:w="1575"/>
        <w:gridCol w:w="4967"/>
      </w:tblGrid>
      <w:tr w:rsidR="00F809BD" w:rsidRPr="00F809BD" w:rsidTr="00F809BD">
        <w:trPr>
          <w:tblHeader/>
        </w:trPr>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Mass Size</w:t>
            </w:r>
          </w:p>
        </w:tc>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Probable Diagnosis</w:t>
            </w:r>
          </w:p>
        </w:tc>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Recommendation</w:t>
            </w:r>
          </w:p>
        </w:tc>
        <w:tc>
          <w:tcPr>
            <w:tcW w:w="0" w:type="auto"/>
            <w:tcBorders>
              <w:top w:val="nil"/>
              <w:left w:val="nil"/>
              <w:bottom w:val="single" w:sz="6" w:space="0" w:color="CCCCCC"/>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Comment</w:t>
            </w:r>
          </w:p>
        </w:tc>
      </w:tr>
      <w:tr w:rsidR="00F809BD" w:rsidRPr="00F809BD" w:rsidTr="00F809BD">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Large (&gt;3 cm)</w:t>
            </w:r>
          </w:p>
        </w:tc>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Renal cell carcinoma</w:t>
            </w:r>
            <w:bookmarkStart w:id="5" w:name="back-tblfn7" w:colFirst="1" w:colLast="1"/>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"tblfn7"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p>
        </w:tc>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bookmarkStart w:id="6" w:name="back-tblfn8" w:colFirst="2" w:colLast="2"/>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"tblfn8"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p>
        </w:tc>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proofErr w:type="spellStart"/>
            <w:r w:rsidRPr="00F809BD">
              <w:rPr>
                <w:rFonts w:ascii="Times New Roman" w:eastAsia="Times New Roman" w:hAnsi="Times New Roman" w:cs="Times New Roman"/>
                <w:sz w:val="17"/>
                <w:szCs w:val="17"/>
              </w:rPr>
              <w:t>Angiomyolipoma</w:t>
            </w:r>
            <w:proofErr w:type="spellEnd"/>
            <w:r w:rsidRPr="00F809BD">
              <w:rPr>
                <w:rFonts w:ascii="Times New Roman" w:eastAsia="Times New Roman" w:hAnsi="Times New Roman" w:cs="Times New Roman"/>
                <w:sz w:val="17"/>
                <w:szCs w:val="17"/>
              </w:rPr>
              <w:t xml:space="preserve"> with minimal fat, </w:t>
            </w:r>
            <w:proofErr w:type="spellStart"/>
            <w:r w:rsidRPr="00F809BD">
              <w:rPr>
                <w:rFonts w:ascii="Times New Roman" w:eastAsia="Times New Roman" w:hAnsi="Times New Roman" w:cs="Times New Roman"/>
                <w:sz w:val="17"/>
                <w:szCs w:val="17"/>
              </w:rPr>
              <w:t>oncocytoma</w:t>
            </w:r>
            <w:proofErr w:type="spellEnd"/>
            <w:r w:rsidRPr="00F809BD">
              <w:rPr>
                <w:rFonts w:ascii="Times New Roman" w:eastAsia="Times New Roman" w:hAnsi="Times New Roman" w:cs="Times New Roman"/>
                <w:sz w:val="17"/>
                <w:szCs w:val="17"/>
              </w:rPr>
              <w:t xml:space="preserve">, other benign </w:t>
            </w:r>
            <w:proofErr w:type="spellStart"/>
            <w:r w:rsidRPr="00F809BD">
              <w:rPr>
                <w:rFonts w:ascii="Times New Roman" w:eastAsia="Times New Roman" w:hAnsi="Times New Roman" w:cs="Times New Roman"/>
                <w:sz w:val="17"/>
                <w:szCs w:val="17"/>
              </w:rPr>
              <w:t>neoplasms</w:t>
            </w:r>
            <w:proofErr w:type="spellEnd"/>
            <w:r w:rsidRPr="00F809BD">
              <w:rPr>
                <w:rFonts w:ascii="Times New Roman" w:eastAsia="Times New Roman" w:hAnsi="Times New Roman" w:cs="Times New Roman"/>
                <w:sz w:val="17"/>
                <w:szCs w:val="17"/>
              </w:rPr>
              <w:t xml:space="preserve"> may be found at surgery</w:t>
            </w:r>
          </w:p>
        </w:tc>
      </w:tr>
      <w:tr w:rsidR="00F809BD" w:rsidRPr="00F809BD" w:rsidTr="00F809BD">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lastRenderedPageBreak/>
              <w:t>Small (1-3 cm)</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Renal cell carcinoma</w:t>
            </w:r>
            <w:hyperlink r:id="rId19" w:anchor="tblfn7" w:tooltip="" w:history="1">
              <w:r w:rsidRPr="00F809BD">
                <w:rPr>
                  <w:rFonts w:ascii="Times New Roman" w:eastAsia="Times New Roman" w:hAnsi="Times New Roman" w:cs="Times New Roman"/>
                  <w:color w:val="336699"/>
                  <w:sz w:val="17"/>
                  <w:u w:val="single"/>
                </w:rPr>
                <w:t>†</w:t>
              </w:r>
            </w:hyperlink>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hyperlink r:id="rId20" w:anchor="tblfn8" w:tooltip="" w:history="1">
              <w:r w:rsidRPr="00F809BD">
                <w:rPr>
                  <w:rFonts w:ascii="Times New Roman" w:eastAsia="Times New Roman" w:hAnsi="Times New Roman" w:cs="Times New Roman"/>
                  <w:color w:val="336699"/>
                  <w:sz w:val="17"/>
                  <w:u w:val="single"/>
                </w:rPr>
                <w:t>‡</w:t>
              </w:r>
            </w:hyperlink>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 xml:space="preserve">If </w:t>
            </w:r>
            <w:proofErr w:type="spellStart"/>
            <w:r w:rsidRPr="00F809BD">
              <w:rPr>
                <w:rFonts w:ascii="Times New Roman" w:eastAsia="Times New Roman" w:hAnsi="Times New Roman" w:cs="Times New Roman"/>
                <w:sz w:val="17"/>
                <w:szCs w:val="17"/>
              </w:rPr>
              <w:t>hyperattenuating</w:t>
            </w:r>
            <w:proofErr w:type="spellEnd"/>
            <w:r w:rsidRPr="00F809BD">
              <w:rPr>
                <w:rFonts w:ascii="Times New Roman" w:eastAsia="Times New Roman" w:hAnsi="Times New Roman" w:cs="Times New Roman"/>
                <w:sz w:val="17"/>
                <w:szCs w:val="17"/>
              </w:rPr>
              <w:t xml:space="preserve">, and homogenously enhancing, consider MRI and </w:t>
            </w:r>
            <w:proofErr w:type="spellStart"/>
            <w:r w:rsidRPr="00F809BD">
              <w:rPr>
                <w:rFonts w:ascii="Times New Roman" w:eastAsia="Times New Roman" w:hAnsi="Times New Roman" w:cs="Times New Roman"/>
                <w:sz w:val="17"/>
                <w:szCs w:val="17"/>
              </w:rPr>
              <w:t>percutaneous</w:t>
            </w:r>
            <w:proofErr w:type="spellEnd"/>
            <w:r w:rsidRPr="00F809BD">
              <w:rPr>
                <w:rFonts w:ascii="Times New Roman" w:eastAsia="Times New Roman" w:hAnsi="Times New Roman" w:cs="Times New Roman"/>
                <w:sz w:val="17"/>
                <w:szCs w:val="17"/>
              </w:rPr>
              <w:t xml:space="preserve"> biopsy to diagnose </w:t>
            </w:r>
            <w:proofErr w:type="spellStart"/>
            <w:r w:rsidRPr="00F809BD">
              <w:rPr>
                <w:rFonts w:ascii="Times New Roman" w:eastAsia="Times New Roman" w:hAnsi="Times New Roman" w:cs="Times New Roman"/>
                <w:sz w:val="17"/>
                <w:szCs w:val="17"/>
              </w:rPr>
              <w:t>angiomyolipoma</w:t>
            </w:r>
            <w:proofErr w:type="spellEnd"/>
            <w:r w:rsidRPr="00F809BD">
              <w:rPr>
                <w:rFonts w:ascii="Times New Roman" w:eastAsia="Times New Roman" w:hAnsi="Times New Roman" w:cs="Times New Roman"/>
                <w:sz w:val="17"/>
                <w:szCs w:val="17"/>
              </w:rPr>
              <w:t xml:space="preserve"> with minimal fat</w:t>
            </w:r>
          </w:p>
        </w:tc>
      </w:tr>
      <w:bookmarkEnd w:id="5"/>
      <w:bookmarkEnd w:id="6"/>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Very small (&lt;1 cm)</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 xml:space="preserve">Renal cell carcinoma, </w:t>
            </w:r>
            <w:proofErr w:type="spellStart"/>
            <w:r w:rsidRPr="00F809BD">
              <w:rPr>
                <w:rFonts w:ascii="Times New Roman" w:eastAsia="Times New Roman" w:hAnsi="Times New Roman" w:cs="Times New Roman"/>
                <w:sz w:val="17"/>
                <w:szCs w:val="17"/>
              </w:rPr>
              <w:t>oncocytoma</w:t>
            </w:r>
            <w:proofErr w:type="spellEnd"/>
            <w:r w:rsidRPr="00F809BD">
              <w:rPr>
                <w:rFonts w:ascii="Times New Roman" w:eastAsia="Times New Roman" w:hAnsi="Times New Roman" w:cs="Times New Roman"/>
                <w:sz w:val="17"/>
                <w:szCs w:val="17"/>
              </w:rPr>
              <w:t xml:space="preserve">, </w:t>
            </w:r>
            <w:proofErr w:type="spellStart"/>
            <w:r w:rsidRPr="00F809BD">
              <w:rPr>
                <w:rFonts w:ascii="Times New Roman" w:eastAsia="Times New Roman" w:hAnsi="Times New Roman" w:cs="Times New Roman"/>
                <w:sz w:val="17"/>
                <w:szCs w:val="17"/>
              </w:rPr>
              <w:t>angiomyolipoma</w:t>
            </w:r>
            <w:bookmarkStart w:id="7" w:name="back-tblfn6"/>
            <w:proofErr w:type="spellEnd"/>
            <w:r>
              <w:rPr>
                <w:rFonts w:ascii="Times New Roman" w:eastAsia="Times New Roman" w:hAnsi="Times New Roman" w:cs="Times New Roman"/>
                <w:noProof/>
                <w:color w:val="336699"/>
                <w:sz w:val="20"/>
                <w:szCs w:val="20"/>
                <w:bdr w:val="none" w:sz="0" w:space="0" w:color="auto" w:frame="1"/>
                <w:vertAlign w:val="superscript"/>
              </w:rPr>
              <w:drawing>
                <wp:inline distT="0" distB="0" distL="0" distR="0">
                  <wp:extent cx="85725" cy="66675"/>
                  <wp:effectExtent l="19050" t="0" r="9525" b="0"/>
                  <wp:docPr id="17" name="Picture 17" descr="http://www.jacr.org/webfiles/images/FLA/Glyphs/u204e.gif">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acr.org/webfiles/images/FLA/Glyphs/u204e.gif">
                            <a:hlinkClick r:id="rId21" tooltip="&quot;&quot;"/>
                          </pic:cNvPr>
                          <pic:cNvPicPr>
                            <a:picLocks noChangeAspect="1" noChangeArrowheads="1"/>
                          </pic:cNvPicPr>
                        </pic:nvPicPr>
                        <pic:blipFill>
                          <a:blip r:embed="rId5"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bookmarkEnd w:id="7"/>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Observe until 1 cm</w:t>
            </w:r>
            <w:bookmarkStart w:id="8" w:name="back-tblfn9"/>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"tblfn9"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bookmarkEnd w:id="8"/>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Thin (≤3 mm) sections help confirm enhancement</w:t>
            </w:r>
          </w:p>
        </w:tc>
      </w:tr>
    </w:tbl>
    <w:p w:rsidR="00F809BD" w:rsidRPr="00F809BD" w:rsidRDefault="00F809BD" w:rsidP="00F809BD">
      <w:pPr>
        <w:shd w:val="clear" w:color="auto" w:fill="FFFFFF"/>
        <w:spacing w:after="150" w:line="240" w:lineRule="atLeast"/>
        <w:textAlignment w:val="baseline"/>
        <w:rPr>
          <w:rFonts w:ascii="Helvetica" w:eastAsia="Times New Roman" w:hAnsi="Helvetica" w:cs="Helvetica"/>
          <w:color w:val="333333"/>
          <w:sz w:val="18"/>
          <w:szCs w:val="18"/>
        </w:rPr>
      </w:pPr>
      <w:r w:rsidRPr="00F809BD">
        <w:rPr>
          <w:rFonts w:ascii="Helvetica" w:eastAsia="Times New Roman" w:hAnsi="Helvetica" w:cs="Helvetica"/>
          <w:color w:val="333333"/>
          <w:sz w:val="18"/>
          <w:szCs w:val="18"/>
        </w:rPr>
        <w:t xml:space="preserve">Note: These recommendations are best followed after </w:t>
      </w:r>
      <w:proofErr w:type="spellStart"/>
      <w:r w:rsidRPr="00F809BD">
        <w:rPr>
          <w:rFonts w:ascii="Helvetica" w:eastAsia="Times New Roman" w:hAnsi="Helvetica" w:cs="Helvetica"/>
          <w:color w:val="333333"/>
          <w:sz w:val="18"/>
          <w:szCs w:val="18"/>
        </w:rPr>
        <w:t>nonneoplastic</w:t>
      </w:r>
      <w:proofErr w:type="spellEnd"/>
      <w:r w:rsidRPr="00F809BD">
        <w:rPr>
          <w:rFonts w:ascii="Helvetica" w:eastAsia="Times New Roman" w:hAnsi="Helvetica" w:cs="Helvetica"/>
          <w:color w:val="333333"/>
          <w:sz w:val="18"/>
          <w:szCs w:val="18"/>
        </w:rPr>
        <w:t xml:space="preserve"> causes of a renal mass (</w:t>
      </w:r>
      <w:proofErr w:type="spellStart"/>
      <w:r w:rsidRPr="00F809BD">
        <w:rPr>
          <w:rFonts w:ascii="Helvetica" w:eastAsia="Times New Roman" w:hAnsi="Helvetica" w:cs="Helvetica"/>
          <w:color w:val="333333"/>
          <w:sz w:val="18"/>
          <w:szCs w:val="18"/>
        </w:rPr>
        <w:t>eg</w:t>
      </w:r>
      <w:proofErr w:type="spellEnd"/>
      <w:r w:rsidRPr="00F809BD">
        <w:rPr>
          <w:rFonts w:ascii="Helvetica" w:eastAsia="Times New Roman" w:hAnsi="Helvetica" w:cs="Helvetica"/>
          <w:color w:val="333333"/>
          <w:sz w:val="18"/>
          <w:szCs w:val="18"/>
        </w:rPr>
        <w:t>, infections) have been excluded; see text for details. The recommendations are offered as general guidance and do not necessarily apply to all patients.</w:t>
      </w:r>
    </w:p>
    <w:tbl>
      <w:tblPr>
        <w:tblW w:w="10170" w:type="dxa"/>
        <w:shd w:val="clear" w:color="auto" w:fill="FFFFFF"/>
        <w:tblCellMar>
          <w:left w:w="0" w:type="dxa"/>
          <w:right w:w="0" w:type="dxa"/>
        </w:tblCellMar>
        <w:tblLook w:val="04A0"/>
      </w:tblPr>
      <w:tblGrid>
        <w:gridCol w:w="10170"/>
      </w:tblGrid>
      <w:tr w:rsidR="00F809BD" w:rsidRPr="00F809BD" w:rsidTr="00F809BD">
        <w:tc>
          <w:tcPr>
            <w:tcW w:w="0" w:type="auto"/>
            <w:shd w:val="clear" w:color="auto" w:fill="auto"/>
            <w:vAlign w:val="center"/>
            <w:hideMark/>
          </w:tcPr>
          <w:p w:rsidR="00F809BD" w:rsidRPr="00F809BD" w:rsidRDefault="00F809BD" w:rsidP="00F809BD">
            <w:pPr>
              <w:spacing w:after="0" w:line="240" w:lineRule="atLeast"/>
              <w:rPr>
                <w:rFonts w:ascii="Helvetica" w:eastAsia="Times New Roman" w:hAnsi="Helvetica" w:cs="Helvetica"/>
                <w:color w:val="333333"/>
                <w:sz w:val="18"/>
                <w:szCs w:val="18"/>
              </w:rPr>
            </w:pP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r>
              <w:rPr>
                <w:rFonts w:ascii="Helvetica" w:eastAsia="Times New Roman" w:hAnsi="Helvetica" w:cs="Helvetica"/>
                <w:noProof/>
                <w:color w:val="336699"/>
                <w:sz w:val="17"/>
                <w:szCs w:val="17"/>
                <w:bdr w:val="none" w:sz="0" w:space="0" w:color="auto" w:frame="1"/>
              </w:rPr>
              <w:drawing>
                <wp:inline distT="0" distB="0" distL="0" distR="0">
                  <wp:extent cx="85725" cy="66675"/>
                  <wp:effectExtent l="19050" t="0" r="9525" b="0"/>
                  <wp:docPr id="18" name="Picture 18" descr="http://www.jacr.org/webfiles/images/FLA/Glyphs/u204e.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acr.org/webfiles/images/FLA/Glyphs/u204e.gif">
                            <a:hlinkClick r:id="rId22"/>
                          </pic:cNvPr>
                          <pic:cNvPicPr>
                            <a:picLocks noChangeAspect="1" noChangeArrowheads="1"/>
                          </pic:cNvPicPr>
                        </pic:nvPicPr>
                        <pic:blipFill>
                          <a:blip r:embed="rId5"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F809BD">
              <w:rPr>
                <w:rFonts w:ascii="Helvetica" w:eastAsia="Times New Roman" w:hAnsi="Helvetica" w:cs="Helvetica"/>
                <w:color w:val="333333"/>
                <w:sz w:val="17"/>
                <w:szCs w:val="17"/>
              </w:rPr>
              <w:t>Benign entities are more likely in small renal masses than large ones.</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23" w:anchor="back-tblfn7"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Provided there is no detectable fat by CT or MRI using protocols designed to evaluate renal masses.</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24" w:anchor="back-tblfn8"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 xml:space="preserve">Surgical options include open or laparoscopic </w:t>
            </w:r>
            <w:proofErr w:type="spellStart"/>
            <w:r w:rsidRPr="00F809BD">
              <w:rPr>
                <w:rFonts w:ascii="Helvetica" w:eastAsia="Times New Roman" w:hAnsi="Helvetica" w:cs="Helvetica"/>
                <w:color w:val="333333"/>
                <w:sz w:val="17"/>
                <w:szCs w:val="17"/>
              </w:rPr>
              <w:t>nephrectomy</w:t>
            </w:r>
            <w:proofErr w:type="spellEnd"/>
            <w:r w:rsidRPr="00F809BD">
              <w:rPr>
                <w:rFonts w:ascii="Helvetica" w:eastAsia="Times New Roman" w:hAnsi="Helvetica" w:cs="Helvetica"/>
                <w:color w:val="333333"/>
                <w:sz w:val="17"/>
                <w:szCs w:val="17"/>
              </w:rPr>
              <w:t xml:space="preserve"> and partial </w:t>
            </w:r>
            <w:proofErr w:type="spellStart"/>
            <w:r w:rsidRPr="00F809BD">
              <w:rPr>
                <w:rFonts w:ascii="Helvetica" w:eastAsia="Times New Roman" w:hAnsi="Helvetica" w:cs="Helvetica"/>
                <w:color w:val="333333"/>
                <w:sz w:val="17"/>
                <w:szCs w:val="17"/>
              </w:rPr>
              <w:t>nephrectomy</w:t>
            </w:r>
            <w:proofErr w:type="spellEnd"/>
            <w:r w:rsidRPr="00F809BD">
              <w:rPr>
                <w:rFonts w:ascii="Helvetica" w:eastAsia="Times New Roman" w:hAnsi="Helvetica" w:cs="Helvetica"/>
                <w:color w:val="333333"/>
                <w:sz w:val="17"/>
                <w:szCs w:val="17"/>
              </w:rPr>
              <w:t xml:space="preserve">; both provide a tissue diagnosis. Open, laparoscopic, and </w:t>
            </w:r>
            <w:proofErr w:type="spellStart"/>
            <w:r w:rsidRPr="00F809BD">
              <w:rPr>
                <w:rFonts w:ascii="Helvetica" w:eastAsia="Times New Roman" w:hAnsi="Helvetica" w:cs="Helvetica"/>
                <w:color w:val="333333"/>
                <w:sz w:val="17"/>
                <w:szCs w:val="17"/>
              </w:rPr>
              <w:t>percutaneous</w:t>
            </w:r>
            <w:proofErr w:type="spellEnd"/>
            <w:r w:rsidRPr="00F809BD">
              <w:rPr>
                <w:rFonts w:ascii="Helvetica" w:eastAsia="Times New Roman" w:hAnsi="Helvetica" w:cs="Helvetica"/>
                <w:color w:val="333333"/>
                <w:sz w:val="17"/>
                <w:szCs w:val="17"/>
              </w:rPr>
              <w:t xml:space="preserve"> ablation may be considered when available, but biopsy would be needed to achieve a tissue diagnosis. Long-term (5-year or 10-year) results of ablation are not yet known.</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25" w:anchor="back-tblfn9"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Computed tomography or MRI at 3 to 6 months, 12 months, and then yearly; the interval and duration of observation may be varied (</w:t>
            </w:r>
            <w:proofErr w:type="spellStart"/>
            <w:r w:rsidRPr="00F809BD">
              <w:rPr>
                <w:rFonts w:ascii="Helvetica" w:eastAsia="Times New Roman" w:hAnsi="Helvetica" w:cs="Helvetica"/>
                <w:color w:val="333333"/>
                <w:sz w:val="17"/>
                <w:szCs w:val="17"/>
              </w:rPr>
              <w:t>eg</w:t>
            </w:r>
            <w:proofErr w:type="spellEnd"/>
            <w:r w:rsidRPr="00F809BD">
              <w:rPr>
                <w:rFonts w:ascii="Helvetica" w:eastAsia="Times New Roman" w:hAnsi="Helvetica" w:cs="Helvetica"/>
                <w:color w:val="333333"/>
                <w:sz w:val="17"/>
                <w:szCs w:val="17"/>
              </w:rPr>
              <w:t>, shorter intervals if the mass is enlarging).</w:t>
            </w:r>
          </w:p>
        </w:tc>
      </w:tr>
    </w:tbl>
    <w:p w:rsidR="00F809BD" w:rsidRDefault="00F809BD"/>
    <w:p w:rsidR="00F809BD" w:rsidRDefault="00F809BD"/>
    <w:p w:rsidR="00F809BD" w:rsidRPr="00F809BD" w:rsidRDefault="00F809BD" w:rsidP="00F809BD">
      <w:pPr>
        <w:shd w:val="clear" w:color="auto" w:fill="FFFFFF"/>
        <w:spacing w:after="45" w:line="240" w:lineRule="auto"/>
        <w:textAlignment w:val="baseline"/>
        <w:outlineLvl w:val="4"/>
        <w:rPr>
          <w:rFonts w:ascii="Georgia" w:eastAsia="Times New Roman" w:hAnsi="Georgia" w:cs="Times New Roman"/>
          <w:color w:val="999999"/>
          <w:sz w:val="20"/>
          <w:szCs w:val="20"/>
        </w:rPr>
      </w:pPr>
      <w:proofErr w:type="gramStart"/>
      <w:r w:rsidRPr="00F809BD">
        <w:rPr>
          <w:rFonts w:ascii="Georgia" w:eastAsia="Times New Roman" w:hAnsi="Georgia" w:cs="Times New Roman"/>
          <w:color w:val="999999"/>
          <w:sz w:val="20"/>
          <w:szCs w:val="20"/>
        </w:rPr>
        <w:t>Table 3.</w:t>
      </w:r>
      <w:proofErr w:type="gramEnd"/>
      <w:r w:rsidRPr="00F809BD">
        <w:rPr>
          <w:rFonts w:ascii="Georgia" w:eastAsia="Times New Roman" w:hAnsi="Georgia" w:cs="Times New Roman"/>
          <w:color w:val="999999"/>
          <w:sz w:val="20"/>
          <w:szCs w:val="20"/>
        </w:rPr>
        <w:t xml:space="preserve"> Management recommendations for incidental solid renal masses in patients with limited life expectancy or </w:t>
      </w:r>
      <w:proofErr w:type="spellStart"/>
      <w:r w:rsidRPr="00F809BD">
        <w:rPr>
          <w:rFonts w:ascii="Georgia" w:eastAsia="Times New Roman" w:hAnsi="Georgia" w:cs="Times New Roman"/>
          <w:color w:val="999999"/>
          <w:sz w:val="20"/>
          <w:szCs w:val="20"/>
        </w:rPr>
        <w:t>comorbidities</w:t>
      </w:r>
      <w:proofErr w:type="spellEnd"/>
      <w:r w:rsidRPr="00F809BD">
        <w:rPr>
          <w:rFonts w:ascii="Georgia" w:eastAsia="Times New Roman" w:hAnsi="Georgia" w:cs="Times New Roman"/>
          <w:color w:val="999999"/>
          <w:sz w:val="20"/>
          <w:szCs w:val="20"/>
        </w:rPr>
        <w:t xml:space="preserve"> that increase the risk of treatment</w:t>
      </w:r>
    </w:p>
    <w:p w:rsidR="00F809BD" w:rsidRPr="00F809BD" w:rsidRDefault="00F809BD" w:rsidP="00F809BD">
      <w:pPr>
        <w:spacing w:after="0" w:line="240" w:lineRule="auto"/>
        <w:rPr>
          <w:rFonts w:ascii="Times New Roman" w:eastAsia="Times New Roman" w:hAnsi="Times New Roman" w:cs="Times New Roman"/>
          <w:sz w:val="24"/>
          <w:szCs w:val="24"/>
        </w:rPr>
      </w:pPr>
      <w:r w:rsidRPr="00F809BD">
        <w:rPr>
          <w:rFonts w:ascii="Helvetica" w:eastAsia="Times New Roman" w:hAnsi="Helvetica" w:cs="Helvetica"/>
          <w:color w:val="333333"/>
          <w:sz w:val="18"/>
          <w:szCs w:val="18"/>
          <w:shd w:val="clear" w:color="auto" w:fill="FFFFFF"/>
        </w:rPr>
        <w:t>Reprinted with permission from Radiology 2008</w:t>
      </w:r>
      <w:proofErr w:type="gramStart"/>
      <w:r w:rsidRPr="00F809BD">
        <w:rPr>
          <w:rFonts w:ascii="Helvetica" w:eastAsia="Times New Roman" w:hAnsi="Helvetica" w:cs="Helvetica"/>
          <w:color w:val="333333"/>
          <w:sz w:val="18"/>
          <w:szCs w:val="18"/>
          <w:shd w:val="clear" w:color="auto" w:fill="FFFFFF"/>
        </w:rPr>
        <w:t>;249:16</w:t>
      </w:r>
      <w:proofErr w:type="gramEnd"/>
      <w:r w:rsidRPr="00F809BD">
        <w:rPr>
          <w:rFonts w:ascii="Helvetica" w:eastAsia="Times New Roman" w:hAnsi="Helvetica" w:cs="Helvetica"/>
          <w:color w:val="333333"/>
          <w:sz w:val="18"/>
          <w:szCs w:val="18"/>
          <w:shd w:val="clear" w:color="auto" w:fill="FFFFFF"/>
        </w:rPr>
        <w:t>-31.</w:t>
      </w:r>
    </w:p>
    <w:tbl>
      <w:tblPr>
        <w:tblW w:w="10065" w:type="dxa"/>
        <w:tblCellMar>
          <w:left w:w="0" w:type="dxa"/>
          <w:right w:w="0" w:type="dxa"/>
        </w:tblCellMar>
        <w:tblLook w:val="04A0"/>
      </w:tblPr>
      <w:tblGrid>
        <w:gridCol w:w="959"/>
        <w:gridCol w:w="2335"/>
        <w:gridCol w:w="1620"/>
        <w:gridCol w:w="5151"/>
      </w:tblGrid>
      <w:tr w:rsidR="00F809BD" w:rsidRPr="00F809BD" w:rsidTr="00F809BD">
        <w:trPr>
          <w:tblHeader/>
        </w:trPr>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Mass Size</w:t>
            </w:r>
          </w:p>
        </w:tc>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Probable Diagnosis</w:t>
            </w:r>
          </w:p>
        </w:tc>
        <w:tc>
          <w:tcPr>
            <w:tcW w:w="0" w:type="auto"/>
            <w:tcBorders>
              <w:top w:val="nil"/>
              <w:left w:val="nil"/>
              <w:bottom w:val="single" w:sz="6" w:space="0" w:color="CCCCCC"/>
              <w:right w:val="nil"/>
            </w:tcBorders>
            <w:shd w:val="clear" w:color="auto" w:fill="B9CADC"/>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Recommendation</w:t>
            </w:r>
          </w:p>
        </w:tc>
        <w:tc>
          <w:tcPr>
            <w:tcW w:w="0" w:type="auto"/>
            <w:tcBorders>
              <w:top w:val="nil"/>
              <w:left w:val="nil"/>
              <w:bottom w:val="single" w:sz="6" w:space="0" w:color="CCCCCC"/>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b/>
                <w:bCs/>
                <w:sz w:val="18"/>
                <w:szCs w:val="18"/>
              </w:rPr>
            </w:pPr>
            <w:r w:rsidRPr="00F809BD">
              <w:rPr>
                <w:rFonts w:ascii="Times New Roman" w:eastAsia="Times New Roman" w:hAnsi="Times New Roman" w:cs="Times New Roman"/>
                <w:b/>
                <w:bCs/>
                <w:sz w:val="18"/>
                <w:szCs w:val="18"/>
              </w:rPr>
              <w:t>Comment</w:t>
            </w:r>
          </w:p>
        </w:tc>
      </w:tr>
      <w:tr w:rsidR="00F809BD" w:rsidRPr="00F809BD" w:rsidTr="00F809BD">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Large (&gt;3 cm)</w:t>
            </w:r>
          </w:p>
        </w:tc>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Renal cell carcinoma</w:t>
            </w:r>
            <w:bookmarkStart w:id="9" w:name="back-tblfn11" w:colFirst="1" w:colLast="1"/>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"tblfn11"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p>
        </w:tc>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bookmarkStart w:id="10" w:name="back-tblfn12" w:colFirst="2" w:colLast="2"/>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"tblfn12"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r w:rsidRPr="00F809BD">
              <w:rPr>
                <w:rFonts w:ascii="Times New Roman" w:eastAsia="Times New Roman" w:hAnsi="Times New Roman" w:cs="Times New Roman"/>
                <w:sz w:val="17"/>
              </w:rPr>
              <w:t> </w:t>
            </w:r>
            <w:r w:rsidRPr="00F809BD">
              <w:rPr>
                <w:rFonts w:ascii="Times New Roman" w:eastAsia="Times New Roman" w:hAnsi="Times New Roman" w:cs="Times New Roman"/>
                <w:sz w:val="17"/>
                <w:szCs w:val="17"/>
              </w:rPr>
              <w:t>or observe</w:t>
            </w:r>
          </w:p>
        </w:tc>
        <w:tc>
          <w:tcPr>
            <w:tcW w:w="0" w:type="auto"/>
            <w:tcBorders>
              <w:top w:val="nil"/>
              <w:left w:val="nil"/>
              <w:bottom w:val="single" w:sz="6" w:space="0" w:color="EEEEEE"/>
              <w:right w:val="nil"/>
            </w:tcBorders>
            <w:shd w:val="clear" w:color="auto" w:fill="FFFFF3"/>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proofErr w:type="spellStart"/>
            <w:r w:rsidRPr="00F809BD">
              <w:rPr>
                <w:rFonts w:ascii="Times New Roman" w:eastAsia="Times New Roman" w:hAnsi="Times New Roman" w:cs="Times New Roman"/>
                <w:sz w:val="17"/>
                <w:szCs w:val="17"/>
              </w:rPr>
              <w:t>Angiomyolipoma</w:t>
            </w:r>
            <w:proofErr w:type="spellEnd"/>
            <w:r w:rsidRPr="00F809BD">
              <w:rPr>
                <w:rFonts w:ascii="Times New Roman" w:eastAsia="Times New Roman" w:hAnsi="Times New Roman" w:cs="Times New Roman"/>
                <w:sz w:val="17"/>
                <w:szCs w:val="17"/>
              </w:rPr>
              <w:t xml:space="preserve"> with minimal fat, </w:t>
            </w:r>
            <w:proofErr w:type="spellStart"/>
            <w:r w:rsidRPr="00F809BD">
              <w:rPr>
                <w:rFonts w:ascii="Times New Roman" w:eastAsia="Times New Roman" w:hAnsi="Times New Roman" w:cs="Times New Roman"/>
                <w:sz w:val="17"/>
                <w:szCs w:val="17"/>
              </w:rPr>
              <w:t>oncocytoma</w:t>
            </w:r>
            <w:proofErr w:type="spellEnd"/>
            <w:r w:rsidRPr="00F809BD">
              <w:rPr>
                <w:rFonts w:ascii="Times New Roman" w:eastAsia="Times New Roman" w:hAnsi="Times New Roman" w:cs="Times New Roman"/>
                <w:sz w:val="17"/>
                <w:szCs w:val="17"/>
              </w:rPr>
              <w:t xml:space="preserve">, other benign </w:t>
            </w:r>
            <w:proofErr w:type="spellStart"/>
            <w:r w:rsidRPr="00F809BD">
              <w:rPr>
                <w:rFonts w:ascii="Times New Roman" w:eastAsia="Times New Roman" w:hAnsi="Times New Roman" w:cs="Times New Roman"/>
                <w:sz w:val="17"/>
                <w:szCs w:val="17"/>
              </w:rPr>
              <w:t>neoplasms</w:t>
            </w:r>
            <w:proofErr w:type="spellEnd"/>
            <w:r w:rsidRPr="00F809BD">
              <w:rPr>
                <w:rFonts w:ascii="Times New Roman" w:eastAsia="Times New Roman" w:hAnsi="Times New Roman" w:cs="Times New Roman"/>
                <w:sz w:val="17"/>
                <w:szCs w:val="17"/>
              </w:rPr>
              <w:t xml:space="preserve"> may be found at surgery; biopsy can be used preoperatively to confirm renal cell carcinoma</w:t>
            </w:r>
          </w:p>
        </w:tc>
      </w:tr>
      <w:tr w:rsidR="00F809BD" w:rsidRPr="00F809BD" w:rsidTr="00F809BD">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Small (1-3 cm)</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Renal cell carcinoma</w:t>
            </w:r>
            <w:hyperlink r:id="rId26" w:anchor="tblfn11" w:tooltip="" w:history="1">
              <w:r w:rsidRPr="00F809BD">
                <w:rPr>
                  <w:rFonts w:ascii="Times New Roman" w:eastAsia="Times New Roman" w:hAnsi="Times New Roman" w:cs="Times New Roman"/>
                  <w:color w:val="336699"/>
                  <w:sz w:val="17"/>
                  <w:u w:val="single"/>
                </w:rPr>
                <w:t>†</w:t>
              </w:r>
            </w:hyperlink>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Surgery</w:t>
            </w:r>
            <w:hyperlink r:id="rId27" w:anchor="tblfn12" w:tooltip="" w:history="1">
              <w:r w:rsidRPr="00F809BD">
                <w:rPr>
                  <w:rFonts w:ascii="Times New Roman" w:eastAsia="Times New Roman" w:hAnsi="Times New Roman" w:cs="Times New Roman"/>
                  <w:color w:val="336699"/>
                  <w:sz w:val="17"/>
                  <w:u w:val="single"/>
                </w:rPr>
                <w:t>‡</w:t>
              </w:r>
            </w:hyperlink>
            <w:r w:rsidRPr="00F809BD">
              <w:rPr>
                <w:rFonts w:ascii="Times New Roman" w:eastAsia="Times New Roman" w:hAnsi="Times New Roman" w:cs="Times New Roman"/>
                <w:sz w:val="17"/>
              </w:rPr>
              <w:t> </w:t>
            </w:r>
            <w:r w:rsidRPr="00F809BD">
              <w:rPr>
                <w:rFonts w:ascii="Times New Roman" w:eastAsia="Times New Roman" w:hAnsi="Times New Roman" w:cs="Times New Roman"/>
                <w:sz w:val="17"/>
                <w:szCs w:val="17"/>
              </w:rPr>
              <w:t>or observe</w:t>
            </w:r>
          </w:p>
        </w:tc>
        <w:tc>
          <w:tcPr>
            <w:tcW w:w="0" w:type="auto"/>
            <w:tcBorders>
              <w:top w:val="nil"/>
              <w:left w:val="nil"/>
              <w:bottom w:val="single" w:sz="6" w:space="0" w:color="EEEEEE"/>
              <w:right w:val="nil"/>
            </w:tcBorders>
            <w:shd w:val="clear" w:color="auto" w:fill="F7F7F7"/>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 xml:space="preserve">If </w:t>
            </w:r>
            <w:proofErr w:type="spellStart"/>
            <w:r w:rsidRPr="00F809BD">
              <w:rPr>
                <w:rFonts w:ascii="Times New Roman" w:eastAsia="Times New Roman" w:hAnsi="Times New Roman" w:cs="Times New Roman"/>
                <w:sz w:val="17"/>
                <w:szCs w:val="17"/>
              </w:rPr>
              <w:t>hyperattenuating</w:t>
            </w:r>
            <w:proofErr w:type="spellEnd"/>
            <w:r w:rsidRPr="00F809BD">
              <w:rPr>
                <w:rFonts w:ascii="Times New Roman" w:eastAsia="Times New Roman" w:hAnsi="Times New Roman" w:cs="Times New Roman"/>
                <w:sz w:val="17"/>
                <w:szCs w:val="17"/>
              </w:rPr>
              <w:t xml:space="preserve">, and homogenously enhancing, consider MRI and </w:t>
            </w:r>
            <w:proofErr w:type="spellStart"/>
            <w:r w:rsidRPr="00F809BD">
              <w:rPr>
                <w:rFonts w:ascii="Times New Roman" w:eastAsia="Times New Roman" w:hAnsi="Times New Roman" w:cs="Times New Roman"/>
                <w:sz w:val="17"/>
                <w:szCs w:val="17"/>
              </w:rPr>
              <w:t>percutaneous</w:t>
            </w:r>
            <w:proofErr w:type="spellEnd"/>
            <w:r w:rsidRPr="00F809BD">
              <w:rPr>
                <w:rFonts w:ascii="Times New Roman" w:eastAsia="Times New Roman" w:hAnsi="Times New Roman" w:cs="Times New Roman"/>
                <w:sz w:val="17"/>
                <w:szCs w:val="17"/>
              </w:rPr>
              <w:t xml:space="preserve"> biopsy to diagnose </w:t>
            </w:r>
            <w:proofErr w:type="spellStart"/>
            <w:r w:rsidRPr="00F809BD">
              <w:rPr>
                <w:rFonts w:ascii="Times New Roman" w:eastAsia="Times New Roman" w:hAnsi="Times New Roman" w:cs="Times New Roman"/>
                <w:sz w:val="17"/>
                <w:szCs w:val="17"/>
              </w:rPr>
              <w:t>angiomyolipoma</w:t>
            </w:r>
            <w:proofErr w:type="spellEnd"/>
            <w:r w:rsidRPr="00F809BD">
              <w:rPr>
                <w:rFonts w:ascii="Times New Roman" w:eastAsia="Times New Roman" w:hAnsi="Times New Roman" w:cs="Times New Roman"/>
                <w:sz w:val="17"/>
                <w:szCs w:val="17"/>
              </w:rPr>
              <w:t xml:space="preserve"> with minimal fat</w:t>
            </w:r>
          </w:p>
        </w:tc>
      </w:tr>
      <w:bookmarkEnd w:id="9"/>
      <w:bookmarkEnd w:id="10"/>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Very small (&lt;1 cm)</w:t>
            </w:r>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 xml:space="preserve">Renal cell carcinoma, </w:t>
            </w:r>
            <w:proofErr w:type="spellStart"/>
            <w:r w:rsidRPr="00F809BD">
              <w:rPr>
                <w:rFonts w:ascii="Times New Roman" w:eastAsia="Times New Roman" w:hAnsi="Times New Roman" w:cs="Times New Roman"/>
                <w:sz w:val="17"/>
                <w:szCs w:val="17"/>
              </w:rPr>
              <w:t>oncocytoma</w:t>
            </w:r>
            <w:proofErr w:type="spellEnd"/>
            <w:r w:rsidRPr="00F809BD">
              <w:rPr>
                <w:rFonts w:ascii="Times New Roman" w:eastAsia="Times New Roman" w:hAnsi="Times New Roman" w:cs="Times New Roman"/>
                <w:sz w:val="17"/>
                <w:szCs w:val="17"/>
              </w:rPr>
              <w:t xml:space="preserve">, </w:t>
            </w:r>
            <w:proofErr w:type="spellStart"/>
            <w:r w:rsidRPr="00F809BD">
              <w:rPr>
                <w:rFonts w:ascii="Times New Roman" w:eastAsia="Times New Roman" w:hAnsi="Times New Roman" w:cs="Times New Roman"/>
                <w:sz w:val="17"/>
                <w:szCs w:val="17"/>
              </w:rPr>
              <w:t>angiomyolipoma</w:t>
            </w:r>
            <w:bookmarkStart w:id="11" w:name="back-tblfn10"/>
            <w:proofErr w:type="spellEnd"/>
            <w:r>
              <w:rPr>
                <w:rFonts w:ascii="Times New Roman" w:eastAsia="Times New Roman" w:hAnsi="Times New Roman" w:cs="Times New Roman"/>
                <w:noProof/>
                <w:color w:val="336699"/>
                <w:sz w:val="20"/>
                <w:szCs w:val="20"/>
                <w:bdr w:val="none" w:sz="0" w:space="0" w:color="auto" w:frame="1"/>
                <w:vertAlign w:val="superscript"/>
              </w:rPr>
              <w:drawing>
                <wp:inline distT="0" distB="0" distL="0" distR="0">
                  <wp:extent cx="85725" cy="66675"/>
                  <wp:effectExtent l="19050" t="0" r="9525" b="0"/>
                  <wp:docPr id="21" name="Picture 21" descr="http://www.jacr.org/webfiles/images/FLA/Glyphs/u204e.gif">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acr.org/webfiles/images/FLA/Glyphs/u204e.gif">
                            <a:hlinkClick r:id="rId28" tooltip="&quot;&quot;"/>
                          </pic:cNvPr>
                          <pic:cNvPicPr>
                            <a:picLocks noChangeAspect="1" noChangeArrowheads="1"/>
                          </pic:cNvPicPr>
                        </pic:nvPicPr>
                        <pic:blipFill>
                          <a:blip r:embed="rId5"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bookmarkEnd w:id="11"/>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Observe until 1.5 cm</w:t>
            </w:r>
            <w:bookmarkStart w:id="12" w:name="back-tblfn13"/>
            <w:r w:rsidRPr="00F809BD">
              <w:rPr>
                <w:rFonts w:ascii="Times New Roman" w:eastAsia="Times New Roman" w:hAnsi="Times New Roman" w:cs="Times New Roman"/>
                <w:sz w:val="17"/>
                <w:szCs w:val="17"/>
              </w:rPr>
              <w:fldChar w:fldCharType="begin"/>
            </w:r>
            <w:r w:rsidRPr="00F809BD">
              <w:rPr>
                <w:rFonts w:ascii="Times New Roman" w:eastAsia="Times New Roman" w:hAnsi="Times New Roman" w:cs="Times New Roman"/>
                <w:sz w:val="17"/>
                <w:szCs w:val="17"/>
              </w:rPr>
              <w:instrText xml:space="preserve"> HYPERLINK "http://www.jacr.org/article/S1546-1440(10)00330-3/fulltext" \l "tblfn13" \o "" </w:instrText>
            </w:r>
            <w:r w:rsidRPr="00F809BD">
              <w:rPr>
                <w:rFonts w:ascii="Times New Roman" w:eastAsia="Times New Roman" w:hAnsi="Times New Roman" w:cs="Times New Roman"/>
                <w:sz w:val="17"/>
                <w:szCs w:val="17"/>
              </w:rPr>
              <w:fldChar w:fldCharType="separate"/>
            </w:r>
            <w:r w:rsidRPr="00F809BD">
              <w:rPr>
                <w:rFonts w:ascii="Times New Roman" w:eastAsia="Times New Roman" w:hAnsi="Times New Roman" w:cs="Times New Roman"/>
                <w:color w:val="336699"/>
                <w:sz w:val="17"/>
                <w:u w:val="single"/>
              </w:rPr>
              <w:t>§</w:t>
            </w:r>
            <w:r w:rsidRPr="00F809BD">
              <w:rPr>
                <w:rFonts w:ascii="Times New Roman" w:eastAsia="Times New Roman" w:hAnsi="Times New Roman" w:cs="Times New Roman"/>
                <w:sz w:val="17"/>
                <w:szCs w:val="17"/>
              </w:rPr>
              <w:fldChar w:fldCharType="end"/>
            </w:r>
            <w:bookmarkEnd w:id="12"/>
          </w:p>
        </w:tc>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uto"/>
              <w:rPr>
                <w:rFonts w:ascii="Times New Roman" w:eastAsia="Times New Roman" w:hAnsi="Times New Roman" w:cs="Times New Roman"/>
                <w:sz w:val="17"/>
                <w:szCs w:val="17"/>
              </w:rPr>
            </w:pPr>
            <w:r w:rsidRPr="00F809BD">
              <w:rPr>
                <w:rFonts w:ascii="Times New Roman" w:eastAsia="Times New Roman" w:hAnsi="Times New Roman" w:cs="Times New Roman"/>
                <w:sz w:val="17"/>
                <w:szCs w:val="17"/>
              </w:rPr>
              <w:t>Thin (≤3 mm) sections help confirm enhancement</w:t>
            </w:r>
          </w:p>
        </w:tc>
      </w:tr>
    </w:tbl>
    <w:p w:rsidR="00F809BD" w:rsidRPr="00F809BD" w:rsidRDefault="00F809BD" w:rsidP="00F809BD">
      <w:pPr>
        <w:shd w:val="clear" w:color="auto" w:fill="FFFFFF"/>
        <w:spacing w:after="150" w:line="240" w:lineRule="atLeast"/>
        <w:textAlignment w:val="baseline"/>
        <w:rPr>
          <w:rFonts w:ascii="Helvetica" w:eastAsia="Times New Roman" w:hAnsi="Helvetica" w:cs="Helvetica"/>
          <w:color w:val="333333"/>
          <w:sz w:val="18"/>
          <w:szCs w:val="18"/>
        </w:rPr>
      </w:pPr>
      <w:r w:rsidRPr="00F809BD">
        <w:rPr>
          <w:rFonts w:ascii="Helvetica" w:eastAsia="Times New Roman" w:hAnsi="Helvetica" w:cs="Helvetica"/>
          <w:color w:val="333333"/>
          <w:sz w:val="18"/>
          <w:szCs w:val="18"/>
        </w:rPr>
        <w:t xml:space="preserve">Note: These recommendations are best followed after </w:t>
      </w:r>
      <w:proofErr w:type="spellStart"/>
      <w:r w:rsidRPr="00F809BD">
        <w:rPr>
          <w:rFonts w:ascii="Helvetica" w:eastAsia="Times New Roman" w:hAnsi="Helvetica" w:cs="Helvetica"/>
          <w:color w:val="333333"/>
          <w:sz w:val="18"/>
          <w:szCs w:val="18"/>
        </w:rPr>
        <w:t>nonneoplastic</w:t>
      </w:r>
      <w:proofErr w:type="spellEnd"/>
      <w:r w:rsidRPr="00F809BD">
        <w:rPr>
          <w:rFonts w:ascii="Helvetica" w:eastAsia="Times New Roman" w:hAnsi="Helvetica" w:cs="Helvetica"/>
          <w:color w:val="333333"/>
          <w:sz w:val="18"/>
          <w:szCs w:val="18"/>
        </w:rPr>
        <w:t xml:space="preserve"> causes of a renal mass (</w:t>
      </w:r>
      <w:proofErr w:type="spellStart"/>
      <w:r w:rsidRPr="00F809BD">
        <w:rPr>
          <w:rFonts w:ascii="Helvetica" w:eastAsia="Times New Roman" w:hAnsi="Helvetica" w:cs="Helvetica"/>
          <w:color w:val="333333"/>
          <w:sz w:val="18"/>
          <w:szCs w:val="18"/>
        </w:rPr>
        <w:t>eg</w:t>
      </w:r>
      <w:proofErr w:type="spellEnd"/>
      <w:r w:rsidRPr="00F809BD">
        <w:rPr>
          <w:rFonts w:ascii="Helvetica" w:eastAsia="Times New Roman" w:hAnsi="Helvetica" w:cs="Helvetica"/>
          <w:color w:val="333333"/>
          <w:sz w:val="18"/>
          <w:szCs w:val="18"/>
        </w:rPr>
        <w:t>, infections) have been excluded; see text for details. The recommendations are offered as general guidance and do not necessarily apply to all patients.</w:t>
      </w:r>
    </w:p>
    <w:tbl>
      <w:tblPr>
        <w:tblW w:w="10170" w:type="dxa"/>
        <w:shd w:val="clear" w:color="auto" w:fill="FFFFFF"/>
        <w:tblCellMar>
          <w:left w:w="0" w:type="dxa"/>
          <w:right w:w="0" w:type="dxa"/>
        </w:tblCellMar>
        <w:tblLook w:val="04A0"/>
      </w:tblPr>
      <w:tblGrid>
        <w:gridCol w:w="10170"/>
      </w:tblGrid>
      <w:tr w:rsidR="00F809BD" w:rsidRPr="00F809BD" w:rsidTr="00F809BD">
        <w:tc>
          <w:tcPr>
            <w:tcW w:w="0" w:type="auto"/>
            <w:shd w:val="clear" w:color="auto" w:fill="auto"/>
            <w:vAlign w:val="center"/>
            <w:hideMark/>
          </w:tcPr>
          <w:p w:rsidR="00F809BD" w:rsidRPr="00F809BD" w:rsidRDefault="00F809BD" w:rsidP="00F809BD">
            <w:pPr>
              <w:spacing w:after="0" w:line="240" w:lineRule="atLeast"/>
              <w:rPr>
                <w:rFonts w:ascii="Helvetica" w:eastAsia="Times New Roman" w:hAnsi="Helvetica" w:cs="Helvetica"/>
                <w:color w:val="333333"/>
                <w:sz w:val="18"/>
                <w:szCs w:val="18"/>
              </w:rPr>
            </w:pP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r>
              <w:rPr>
                <w:rFonts w:ascii="Helvetica" w:eastAsia="Times New Roman" w:hAnsi="Helvetica" w:cs="Helvetica"/>
                <w:noProof/>
                <w:color w:val="336699"/>
                <w:sz w:val="17"/>
                <w:szCs w:val="17"/>
                <w:bdr w:val="none" w:sz="0" w:space="0" w:color="auto" w:frame="1"/>
              </w:rPr>
              <w:drawing>
                <wp:inline distT="0" distB="0" distL="0" distR="0">
                  <wp:extent cx="85725" cy="66675"/>
                  <wp:effectExtent l="19050" t="0" r="9525" b="0"/>
                  <wp:docPr id="22" name="Picture 22" descr="http://www.jacr.org/webfiles/images/FLA/Glyphs/u204e.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jacr.org/webfiles/images/FLA/Glyphs/u204e.gif">
                            <a:hlinkClick r:id="rId29"/>
                          </pic:cNvPr>
                          <pic:cNvPicPr>
                            <a:picLocks noChangeAspect="1" noChangeArrowheads="1"/>
                          </pic:cNvPicPr>
                        </pic:nvPicPr>
                        <pic:blipFill>
                          <a:blip r:embed="rId5"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F809BD">
              <w:rPr>
                <w:rFonts w:ascii="Helvetica" w:eastAsia="Times New Roman" w:hAnsi="Helvetica" w:cs="Helvetica"/>
                <w:color w:val="333333"/>
                <w:sz w:val="17"/>
                <w:szCs w:val="17"/>
              </w:rPr>
              <w:t>Benign entities are more likely in small renal masses than large ones.</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30" w:anchor="back-tblfn11"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Provided there is no detectable fat by CT or MRI using protocols designed to evaluate renal masses.</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31" w:anchor="back-tblfn12"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 xml:space="preserve">Surgical options include open or laparoscopic </w:t>
            </w:r>
            <w:proofErr w:type="spellStart"/>
            <w:r w:rsidRPr="00F809BD">
              <w:rPr>
                <w:rFonts w:ascii="Helvetica" w:eastAsia="Times New Roman" w:hAnsi="Helvetica" w:cs="Helvetica"/>
                <w:color w:val="333333"/>
                <w:sz w:val="17"/>
                <w:szCs w:val="17"/>
              </w:rPr>
              <w:t>nephrectomy</w:t>
            </w:r>
            <w:proofErr w:type="spellEnd"/>
            <w:r w:rsidRPr="00F809BD">
              <w:rPr>
                <w:rFonts w:ascii="Helvetica" w:eastAsia="Times New Roman" w:hAnsi="Helvetica" w:cs="Helvetica"/>
                <w:color w:val="333333"/>
                <w:sz w:val="17"/>
                <w:szCs w:val="17"/>
              </w:rPr>
              <w:t xml:space="preserve"> and partial </w:t>
            </w:r>
            <w:proofErr w:type="spellStart"/>
            <w:r w:rsidRPr="00F809BD">
              <w:rPr>
                <w:rFonts w:ascii="Helvetica" w:eastAsia="Times New Roman" w:hAnsi="Helvetica" w:cs="Helvetica"/>
                <w:color w:val="333333"/>
                <w:sz w:val="17"/>
                <w:szCs w:val="17"/>
              </w:rPr>
              <w:t>nephrectomy</w:t>
            </w:r>
            <w:proofErr w:type="spellEnd"/>
            <w:r w:rsidRPr="00F809BD">
              <w:rPr>
                <w:rFonts w:ascii="Helvetica" w:eastAsia="Times New Roman" w:hAnsi="Helvetica" w:cs="Helvetica"/>
                <w:color w:val="333333"/>
                <w:sz w:val="17"/>
                <w:szCs w:val="17"/>
              </w:rPr>
              <w:t xml:space="preserve">; both provide a tissue diagnosis. Open, laparoscopic, and </w:t>
            </w:r>
            <w:proofErr w:type="spellStart"/>
            <w:r w:rsidRPr="00F809BD">
              <w:rPr>
                <w:rFonts w:ascii="Helvetica" w:eastAsia="Times New Roman" w:hAnsi="Helvetica" w:cs="Helvetica"/>
                <w:color w:val="333333"/>
                <w:sz w:val="17"/>
                <w:szCs w:val="17"/>
              </w:rPr>
              <w:t>percutaneous</w:t>
            </w:r>
            <w:proofErr w:type="spellEnd"/>
            <w:r w:rsidRPr="00F809BD">
              <w:rPr>
                <w:rFonts w:ascii="Helvetica" w:eastAsia="Times New Roman" w:hAnsi="Helvetica" w:cs="Helvetica"/>
                <w:color w:val="333333"/>
                <w:sz w:val="17"/>
                <w:szCs w:val="17"/>
              </w:rPr>
              <w:t xml:space="preserve"> ablation may be considered when available, but biopsy would be needed to achieve a tissue diagnosis. Long-term (5-year or 10-year) results of ablation are not yet known.</w:t>
            </w:r>
          </w:p>
        </w:tc>
      </w:tr>
      <w:tr w:rsidR="00F809BD" w:rsidRPr="00F809BD" w:rsidTr="00F809BD">
        <w:tc>
          <w:tcPr>
            <w:tcW w:w="0" w:type="auto"/>
            <w:tcBorders>
              <w:top w:val="nil"/>
              <w:left w:val="nil"/>
              <w:bottom w:val="single" w:sz="6" w:space="0" w:color="EEEEEE"/>
              <w:right w:val="nil"/>
            </w:tcBorders>
            <w:shd w:val="clear" w:color="auto" w:fill="auto"/>
            <w:tcMar>
              <w:top w:w="105" w:type="dxa"/>
              <w:left w:w="105" w:type="dxa"/>
              <w:bottom w:w="105" w:type="dxa"/>
              <w:right w:w="105" w:type="dxa"/>
            </w:tcMar>
            <w:hideMark/>
          </w:tcPr>
          <w:p w:rsidR="00F809BD" w:rsidRPr="00F809BD" w:rsidRDefault="00F809BD" w:rsidP="00F809BD">
            <w:pPr>
              <w:spacing w:after="0" w:line="240" w:lineRule="atLeast"/>
              <w:textAlignment w:val="baseline"/>
              <w:rPr>
                <w:rFonts w:ascii="Helvetica" w:eastAsia="Times New Roman" w:hAnsi="Helvetica" w:cs="Helvetica"/>
                <w:color w:val="333333"/>
                <w:sz w:val="17"/>
                <w:szCs w:val="17"/>
              </w:rPr>
            </w:pPr>
            <w:hyperlink r:id="rId32" w:anchor="back-tblfn13" w:history="1">
              <w:r w:rsidRPr="00F809BD">
                <w:rPr>
                  <w:rFonts w:ascii="Helvetica" w:eastAsia="Times New Roman" w:hAnsi="Helvetica" w:cs="Helvetica"/>
                  <w:color w:val="336699"/>
                  <w:sz w:val="17"/>
                  <w:u w:val="single"/>
                </w:rPr>
                <w:t>§</w:t>
              </w:r>
            </w:hyperlink>
            <w:r w:rsidRPr="00F809BD">
              <w:rPr>
                <w:rFonts w:ascii="Helvetica" w:eastAsia="Times New Roman" w:hAnsi="Helvetica" w:cs="Helvetica"/>
                <w:color w:val="333333"/>
                <w:sz w:val="17"/>
                <w:szCs w:val="17"/>
              </w:rPr>
              <w:t>Computed tomography or MRI at 3 to 6 months, 12 months, and then yearly; the interval of observation may be varied (</w:t>
            </w:r>
            <w:proofErr w:type="spellStart"/>
            <w:r w:rsidRPr="00F809BD">
              <w:rPr>
                <w:rFonts w:ascii="Helvetica" w:eastAsia="Times New Roman" w:hAnsi="Helvetica" w:cs="Helvetica"/>
                <w:color w:val="333333"/>
                <w:sz w:val="17"/>
                <w:szCs w:val="17"/>
              </w:rPr>
              <w:t>eg</w:t>
            </w:r>
            <w:proofErr w:type="spellEnd"/>
            <w:r w:rsidRPr="00F809BD">
              <w:rPr>
                <w:rFonts w:ascii="Helvetica" w:eastAsia="Times New Roman" w:hAnsi="Helvetica" w:cs="Helvetica"/>
                <w:color w:val="333333"/>
                <w:sz w:val="17"/>
                <w:szCs w:val="17"/>
              </w:rPr>
              <w:t xml:space="preserve">, shorter </w:t>
            </w:r>
            <w:r w:rsidRPr="00F809BD">
              <w:rPr>
                <w:rFonts w:ascii="Helvetica" w:eastAsia="Times New Roman" w:hAnsi="Helvetica" w:cs="Helvetica"/>
                <w:color w:val="333333"/>
                <w:sz w:val="17"/>
                <w:szCs w:val="17"/>
              </w:rPr>
              <w:lastRenderedPageBreak/>
              <w:t xml:space="preserve">intervals if the mass is enlarging); the duration of observation may be individualized. Observation may be considered for a solid renal mass of any size in a patient with limited life expectancy or </w:t>
            </w:r>
            <w:proofErr w:type="spellStart"/>
            <w:r w:rsidRPr="00F809BD">
              <w:rPr>
                <w:rFonts w:ascii="Helvetica" w:eastAsia="Times New Roman" w:hAnsi="Helvetica" w:cs="Helvetica"/>
                <w:color w:val="333333"/>
                <w:sz w:val="17"/>
                <w:szCs w:val="17"/>
              </w:rPr>
              <w:t>comorbidities</w:t>
            </w:r>
            <w:proofErr w:type="spellEnd"/>
            <w:r w:rsidRPr="00F809BD">
              <w:rPr>
                <w:rFonts w:ascii="Helvetica" w:eastAsia="Times New Roman" w:hAnsi="Helvetica" w:cs="Helvetica"/>
                <w:color w:val="333333"/>
                <w:sz w:val="17"/>
                <w:szCs w:val="17"/>
              </w:rPr>
              <w:t xml:space="preserve"> that increase the risk of treatment, particularly when the mass is small. It may be safe to observe a solid renal mass beyond 1.5 cm, but there are insufficient data to provide definitive recommendations on the risks and benefits of observation.</w:t>
            </w:r>
          </w:p>
        </w:tc>
      </w:tr>
    </w:tbl>
    <w:p w:rsidR="00F809BD" w:rsidRPr="00F809BD" w:rsidRDefault="00F809BD"/>
    <w:sectPr w:rsidR="00F809BD" w:rsidRPr="00F809BD" w:rsidSect="00ED1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9BD"/>
    <w:rsid w:val="00ED11C8"/>
    <w:rsid w:val="00F80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C8"/>
  </w:style>
  <w:style w:type="paragraph" w:styleId="Heading5">
    <w:name w:val="heading 5"/>
    <w:basedOn w:val="Normal"/>
    <w:link w:val="Heading5Char"/>
    <w:uiPriority w:val="9"/>
    <w:qFormat/>
    <w:rsid w:val="00F809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809BD"/>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F809BD"/>
  </w:style>
  <w:style w:type="character" w:customStyle="1" w:styleId="searchresulthittext">
    <w:name w:val="search_result_hit_text"/>
    <w:basedOn w:val="DefaultParagraphFont"/>
    <w:rsid w:val="00F809BD"/>
  </w:style>
  <w:style w:type="character" w:styleId="Hyperlink">
    <w:name w:val="Hyperlink"/>
    <w:basedOn w:val="DefaultParagraphFont"/>
    <w:uiPriority w:val="99"/>
    <w:semiHidden/>
    <w:unhideWhenUsed/>
    <w:rsid w:val="00F809BD"/>
    <w:rPr>
      <w:color w:val="0000FF"/>
      <w:u w:val="single"/>
    </w:rPr>
  </w:style>
  <w:style w:type="paragraph" w:styleId="NormalWeb">
    <w:name w:val="Normal (Web)"/>
    <w:basedOn w:val="Normal"/>
    <w:uiPriority w:val="99"/>
    <w:semiHidden/>
    <w:unhideWhenUsed/>
    <w:rsid w:val="00F80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F809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0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499787">
      <w:bodyDiv w:val="1"/>
      <w:marLeft w:val="0"/>
      <w:marRight w:val="0"/>
      <w:marTop w:val="0"/>
      <w:marBottom w:val="0"/>
      <w:divBdr>
        <w:top w:val="none" w:sz="0" w:space="0" w:color="auto"/>
        <w:left w:val="none" w:sz="0" w:space="0" w:color="auto"/>
        <w:bottom w:val="none" w:sz="0" w:space="0" w:color="auto"/>
        <w:right w:val="none" w:sz="0" w:space="0" w:color="auto"/>
      </w:divBdr>
      <w:divsChild>
        <w:div w:id="292368429">
          <w:marLeft w:val="0"/>
          <w:marRight w:val="0"/>
          <w:marTop w:val="0"/>
          <w:marBottom w:val="0"/>
          <w:divBdr>
            <w:top w:val="none" w:sz="0" w:space="0" w:color="auto"/>
            <w:left w:val="none" w:sz="0" w:space="0" w:color="auto"/>
            <w:bottom w:val="none" w:sz="0" w:space="0" w:color="auto"/>
            <w:right w:val="none" w:sz="0" w:space="0" w:color="auto"/>
          </w:divBdr>
        </w:div>
      </w:divsChild>
    </w:div>
    <w:div w:id="1336227132">
      <w:bodyDiv w:val="1"/>
      <w:marLeft w:val="0"/>
      <w:marRight w:val="0"/>
      <w:marTop w:val="0"/>
      <w:marBottom w:val="0"/>
      <w:divBdr>
        <w:top w:val="none" w:sz="0" w:space="0" w:color="auto"/>
        <w:left w:val="none" w:sz="0" w:space="0" w:color="auto"/>
        <w:bottom w:val="none" w:sz="0" w:space="0" w:color="auto"/>
        <w:right w:val="none" w:sz="0" w:space="0" w:color="auto"/>
      </w:divBdr>
      <w:divsChild>
        <w:div w:id="904296608">
          <w:marLeft w:val="0"/>
          <w:marRight w:val="0"/>
          <w:marTop w:val="0"/>
          <w:marBottom w:val="0"/>
          <w:divBdr>
            <w:top w:val="none" w:sz="0" w:space="0" w:color="auto"/>
            <w:left w:val="none" w:sz="0" w:space="0" w:color="auto"/>
            <w:bottom w:val="none" w:sz="0" w:space="0" w:color="auto"/>
            <w:right w:val="none" w:sz="0" w:space="0" w:color="auto"/>
          </w:divBdr>
        </w:div>
      </w:divsChild>
    </w:div>
    <w:div w:id="1637951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cr.org/article/S1546-1440(10)00330-3/fulltext" TargetMode="External"/><Relationship Id="rId13" Type="http://schemas.openxmlformats.org/officeDocument/2006/relationships/hyperlink" Target="http://www.jacr.org/article/S1546-1440(10)00330-3/fulltext" TargetMode="External"/><Relationship Id="rId18" Type="http://schemas.openxmlformats.org/officeDocument/2006/relationships/hyperlink" Target="http://www.jacr.org/article/S1546-1440(10)00330-3/fulltext" TargetMode="External"/><Relationship Id="rId26" Type="http://schemas.openxmlformats.org/officeDocument/2006/relationships/hyperlink" Target="http://www.jacr.org/article/S1546-1440(10)00330-3/fulltext" TargetMode="External"/><Relationship Id="rId3" Type="http://schemas.openxmlformats.org/officeDocument/2006/relationships/webSettings" Target="webSettings.xml"/><Relationship Id="rId21" Type="http://schemas.openxmlformats.org/officeDocument/2006/relationships/hyperlink" Target="http://www.jacr.org/article/S1546-1440(10)00330-3/fulltext#tblfn6" TargetMode="External"/><Relationship Id="rId34"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www.jacr.org/article/S1546-1440(10)00330-3/fulltext" TargetMode="External"/><Relationship Id="rId17" Type="http://schemas.openxmlformats.org/officeDocument/2006/relationships/hyperlink" Target="http://www.jacr.org/article/S1546-1440(10)00330-3/fulltext" TargetMode="External"/><Relationship Id="rId25" Type="http://schemas.openxmlformats.org/officeDocument/2006/relationships/hyperlink" Target="http://www.jacr.org/article/S1546-1440(10)00330-3/fulltex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acr.org/article/S1546-1440(10)00330-3/fulltext" TargetMode="External"/><Relationship Id="rId20" Type="http://schemas.openxmlformats.org/officeDocument/2006/relationships/hyperlink" Target="http://www.jacr.org/article/S1546-1440(10)00330-3/fulltext" TargetMode="External"/><Relationship Id="rId29" Type="http://schemas.openxmlformats.org/officeDocument/2006/relationships/hyperlink" Target="http://www.jacr.org/article/S1546-1440(10)00330-3/fulltext#back-tblfn10" TargetMode="External"/><Relationship Id="rId1" Type="http://schemas.openxmlformats.org/officeDocument/2006/relationships/styles" Target="styles.xml"/><Relationship Id="rId6" Type="http://schemas.openxmlformats.org/officeDocument/2006/relationships/hyperlink" Target="http://www.jacr.org/article/S1546-1440(10)00330-3/fulltext" TargetMode="External"/><Relationship Id="rId11" Type="http://schemas.openxmlformats.org/officeDocument/2006/relationships/hyperlink" Target="http://www.jacr.org/article/S1546-1440(10)00330-3/fulltext" TargetMode="External"/><Relationship Id="rId24" Type="http://schemas.openxmlformats.org/officeDocument/2006/relationships/hyperlink" Target="http://www.jacr.org/article/S1546-1440(10)00330-3/fulltext" TargetMode="External"/><Relationship Id="rId32" Type="http://schemas.openxmlformats.org/officeDocument/2006/relationships/hyperlink" Target="http://www.jacr.org/article/S1546-1440(10)00330-3/fulltext" TargetMode="External"/><Relationship Id="rId5" Type="http://schemas.openxmlformats.org/officeDocument/2006/relationships/image" Target="media/image1.gif"/><Relationship Id="rId15" Type="http://schemas.openxmlformats.org/officeDocument/2006/relationships/hyperlink" Target="http://www.jacr.org/article/S1546-1440(10)00330-3/fulltext" TargetMode="External"/><Relationship Id="rId23" Type="http://schemas.openxmlformats.org/officeDocument/2006/relationships/hyperlink" Target="http://www.jacr.org/article/S1546-1440(10)00330-3/fulltext" TargetMode="External"/><Relationship Id="rId28" Type="http://schemas.openxmlformats.org/officeDocument/2006/relationships/hyperlink" Target="http://www.jacr.org/article/S1546-1440(10)00330-3/fulltext#tblfn10" TargetMode="External"/><Relationship Id="rId10" Type="http://schemas.openxmlformats.org/officeDocument/2006/relationships/hyperlink" Target="http://www.jacr.org/article/S1546-1440(10)00330-3/fulltext" TargetMode="External"/><Relationship Id="rId19" Type="http://schemas.openxmlformats.org/officeDocument/2006/relationships/hyperlink" Target="http://www.jacr.org/article/S1546-1440(10)00330-3/fulltext" TargetMode="External"/><Relationship Id="rId31" Type="http://schemas.openxmlformats.org/officeDocument/2006/relationships/hyperlink" Target="http://www.jacr.org/article/S1546-1440(10)00330-3/fulltext" TargetMode="External"/><Relationship Id="rId4" Type="http://schemas.openxmlformats.org/officeDocument/2006/relationships/hyperlink" Target="http://www.jacr.org/article/S1546-1440(10)00330-3/fulltext#tblfn1" TargetMode="External"/><Relationship Id="rId9" Type="http://schemas.openxmlformats.org/officeDocument/2006/relationships/hyperlink" Target="http://www.jacr.org/article/S1546-1440(10)00330-3/fulltext" TargetMode="External"/><Relationship Id="rId14" Type="http://schemas.openxmlformats.org/officeDocument/2006/relationships/hyperlink" Target="http://www.jacr.org/article/S1546-1440(10)00330-3/fulltext#back-tblfn1" TargetMode="External"/><Relationship Id="rId22" Type="http://schemas.openxmlformats.org/officeDocument/2006/relationships/hyperlink" Target="http://www.jacr.org/article/S1546-1440(10)00330-3/fulltext#back-tblfn6" TargetMode="External"/><Relationship Id="rId27" Type="http://schemas.openxmlformats.org/officeDocument/2006/relationships/hyperlink" Target="http://www.jacr.org/article/S1546-1440(10)00330-3/fulltext" TargetMode="External"/><Relationship Id="rId30" Type="http://schemas.openxmlformats.org/officeDocument/2006/relationships/hyperlink" Target="http://www.jacr.org/article/S1546-1440(10)00330-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7882</Characters>
  <Application>Microsoft Office Word</Application>
  <DocSecurity>0</DocSecurity>
  <Lines>65</Lines>
  <Paragraphs>18</Paragraphs>
  <ScaleCrop>false</ScaleCrop>
  <Company>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pacsweb</dc:creator>
  <cp:keywords/>
  <dc:description/>
  <cp:lastModifiedBy>pacsweb</cp:lastModifiedBy>
  <cp:revision>1</cp:revision>
  <dcterms:created xsi:type="dcterms:W3CDTF">2014-01-16T16:16:00Z</dcterms:created>
  <dcterms:modified xsi:type="dcterms:W3CDTF">2014-01-16T16:17:00Z</dcterms:modified>
</cp:coreProperties>
</file>